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6FADC15A" w14:textId="77777777" w:rsidR="00D7158B" w:rsidRDefault="00D7158B" w:rsidP="00D7158B">
      <w:pPr>
        <w:bidi w:val="0"/>
        <w:spacing w:line="240" w:lineRule="auto"/>
        <w:rPr>
          <w:rFonts w:asciiTheme="majorBidi" w:hAnsiTheme="majorBidi" w:cstheme="majorBidi"/>
          <w:b/>
          <w:bCs/>
          <w:i/>
          <w:iCs/>
          <w:color w:val="006666"/>
          <w:sz w:val="28"/>
          <w:szCs w:val="28"/>
        </w:rPr>
      </w:pPr>
      <w:r>
        <w:rPr>
          <w:rFonts w:hint="cs"/>
          <w:noProof/>
          <w:rtl/>
        </w:rPr>
        <mc:AlternateContent>
          <mc:Choice Requires="wps">
            <w:drawing>
              <wp:anchor distT="0" distB="0" distL="114300" distR="114300" simplePos="0" relativeHeight="251660288" behindDoc="0" locked="0" layoutInCell="1" allowOverlap="1" wp14:anchorId="651579BB" wp14:editId="03EBE2F0">
                <wp:simplePos x="0" y="0"/>
                <wp:positionH relativeFrom="margin">
                  <wp:posOffset>1299210</wp:posOffset>
                </wp:positionH>
                <wp:positionV relativeFrom="paragraph">
                  <wp:posOffset>-775970</wp:posOffset>
                </wp:positionV>
                <wp:extent cx="2449195" cy="5334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533400"/>
                        </a:xfrm>
                        <a:prstGeom prst="rect">
                          <a:avLst/>
                        </a:prstGeom>
                        <a:noFill/>
                        <a:ln w="9525">
                          <a:noFill/>
                          <a:prstDash val="lgDashDot"/>
                          <a:miter lim="800000"/>
                          <a:headEnd/>
                          <a:tailEnd/>
                        </a:ln>
                      </wps:spPr>
                      <wps:txbx>
                        <w:txbxContent>
                          <w:p w14:paraId="4102B101" w14:textId="77777777" w:rsidR="00D7158B" w:rsidRPr="00E20D07" w:rsidRDefault="00D7158B" w:rsidP="00D7158B">
                            <w:pPr>
                              <w:bidi w:val="0"/>
                              <w:spacing w:after="20" w:line="216" w:lineRule="auto"/>
                              <w:rPr>
                                <w:rFonts w:cs="Times New Roman"/>
                                <w:b/>
                                <w:bCs/>
                                <w:color w:val="006666"/>
                                <w:sz w:val="18"/>
                                <w:szCs w:val="18"/>
                              </w:rPr>
                            </w:pPr>
                            <w:r w:rsidRPr="00E20D07">
                              <w:rPr>
                                <w:rFonts w:cs="Times New Roman"/>
                                <w:b/>
                                <w:bCs/>
                                <w:color w:val="006666"/>
                                <w:sz w:val="18"/>
                                <w:szCs w:val="18"/>
                              </w:rPr>
                              <w:t>Qualitative Research in Educational Sciences</w:t>
                            </w:r>
                          </w:p>
                          <w:p w14:paraId="1F4D3A8C" w14:textId="77777777" w:rsidR="00D7158B" w:rsidRDefault="00CA0B30" w:rsidP="006945EB">
                            <w:pPr>
                              <w:bidi w:val="0"/>
                              <w:spacing w:before="40" w:after="20" w:line="216" w:lineRule="auto"/>
                              <w:rPr>
                                <w:rFonts w:cs="Times New Roman"/>
                                <w:b/>
                                <w:bCs/>
                                <w:color w:val="FF0000"/>
                                <w:sz w:val="16"/>
                                <w:szCs w:val="16"/>
                              </w:rPr>
                            </w:pPr>
                            <w:r w:rsidRPr="009E1E7C">
                              <w:rPr>
                                <w:rFonts w:cs="Times New Roman"/>
                                <w:b/>
                                <w:bCs/>
                                <w:color w:val="006666"/>
                                <w:sz w:val="16"/>
                                <w:szCs w:val="16"/>
                              </w:rPr>
                              <w:t>Volume</w:t>
                            </w:r>
                            <w:r w:rsidR="006945EB">
                              <w:rPr>
                                <w:rFonts w:cs="Times New Roman"/>
                                <w:b/>
                                <w:bCs/>
                                <w:color w:val="006666"/>
                                <w:sz w:val="16"/>
                                <w:szCs w:val="16"/>
                              </w:rPr>
                              <w:t>, Issue</w:t>
                            </w:r>
                            <w:r w:rsidR="00D7158B" w:rsidRPr="009E1E7C">
                              <w:rPr>
                                <w:rFonts w:cs="Times New Roman"/>
                                <w:b/>
                                <w:bCs/>
                                <w:color w:val="006666"/>
                                <w:sz w:val="16"/>
                                <w:szCs w:val="16"/>
                              </w:rPr>
                              <w:t xml:space="preserve">, </w:t>
                            </w:r>
                            <w:r>
                              <w:rPr>
                                <w:rFonts w:cs="Times New Roman"/>
                                <w:b/>
                                <w:bCs/>
                                <w:color w:val="006666"/>
                                <w:sz w:val="16"/>
                                <w:szCs w:val="16"/>
                              </w:rPr>
                              <w:t>Season</w:t>
                            </w:r>
                            <w:r w:rsidR="00D7158B" w:rsidRPr="009E1E7C">
                              <w:rPr>
                                <w:rFonts w:cs="Times New Roman"/>
                                <w:b/>
                                <w:bCs/>
                                <w:color w:val="006666"/>
                                <w:sz w:val="16"/>
                                <w:szCs w:val="16"/>
                              </w:rPr>
                              <w:t xml:space="preserve"> </w:t>
                            </w:r>
                            <w:r w:rsidR="00255F75">
                              <w:rPr>
                                <w:rFonts w:cs="Times New Roman"/>
                                <w:b/>
                                <w:bCs/>
                                <w:color w:val="006666"/>
                                <w:sz w:val="16"/>
                                <w:szCs w:val="16"/>
                              </w:rPr>
                              <w:t>/ Year</w:t>
                            </w:r>
                          </w:p>
                          <w:p w14:paraId="70CBD5C3" w14:textId="77777777" w:rsidR="00D7158B" w:rsidRPr="001D2C10" w:rsidRDefault="00D7158B" w:rsidP="009B470E">
                            <w:pPr>
                              <w:bidi w:val="0"/>
                              <w:spacing w:before="40" w:after="120" w:line="216" w:lineRule="auto"/>
                              <w:rPr>
                                <w:rFonts w:cs="Times New Roman"/>
                                <w:b/>
                                <w:bCs/>
                                <w:color w:val="006666"/>
                                <w:sz w:val="16"/>
                                <w:szCs w:val="16"/>
                              </w:rPr>
                            </w:pPr>
                            <w:r w:rsidRPr="001D2C10">
                              <w:rPr>
                                <w:rFonts w:cs="Times New Roman"/>
                                <w:b/>
                                <w:bCs/>
                                <w:color w:val="006666"/>
                                <w:sz w:val="16"/>
                                <w:szCs w:val="16"/>
                              </w:rPr>
                              <w:t>https://doi.org/10.71839/QRES.2025.</w:t>
                            </w:r>
                          </w:p>
                          <w:p w14:paraId="56D48FED" w14:textId="77777777" w:rsidR="00D7158B" w:rsidRDefault="00D7158B" w:rsidP="00D7158B">
                            <w:pPr>
                              <w:bidi w:val="0"/>
                              <w:spacing w:before="40" w:after="20" w:line="216" w:lineRule="auto"/>
                              <w:rPr>
                                <w:rFonts w:cs="Times New Roman"/>
                                <w:b/>
                                <w:bCs/>
                                <w:color w:val="FF0000"/>
                                <w:sz w:val="16"/>
                                <w:szCs w:val="16"/>
                              </w:rPr>
                            </w:pPr>
                          </w:p>
                          <w:p w14:paraId="33A25B21" w14:textId="77777777" w:rsidR="00D7158B" w:rsidRPr="007F5BF8" w:rsidRDefault="00D7158B" w:rsidP="00D7158B">
                            <w:pPr>
                              <w:bidi w:val="0"/>
                              <w:spacing w:before="40" w:after="20" w:line="216" w:lineRule="auto"/>
                              <w:rPr>
                                <w:rFonts w:cs="Times New Roman"/>
                                <w:b/>
                                <w:bCs/>
                                <w:color w:val="FF000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1579BB" id="_x0000_t202" coordsize="21600,21600" o:spt="202" path="m,l,21600r21600,l21600,xe">
                <v:stroke joinstyle="miter"/>
                <v:path gradientshapeok="t" o:connecttype="rect"/>
              </v:shapetype>
              <v:shape id="Text Box 16" o:spid="_x0000_s1026" type="#_x0000_t202" style="position:absolute;margin-left:102.3pt;margin-top:-61.1pt;width:192.85pt;height:4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X3aEAIAAPYDAAAOAAAAZHJzL2Uyb0RvYy54bWysU9tu2zAMfR+wfxD0vthJna0x4hRdsw4D&#10;ugvQ7QMYWbaFyaImKbGzry8lp2mwvQ3Tg0CK0iF5eLS+GXvNDtJ5habi81nOmTQCa2Xaiv/4fv/m&#10;mjMfwNSg0ciKH6XnN5vXr9aDLeUCO9S1dIxAjC8HW/EuBFtmmRed7MHP0EpDwQZdD4Fc12a1g4HQ&#10;e50t8vxtNqCrrUMhvafT7RTkm4TfNFKEr03jZWC64lRbSLtL+y7u2WYNZevAdkqcyoB/qKIHZSjp&#10;GWoLAdjeqb+geiUcemzCTGCfYdMoIVMP1M08/6Obxw6sTL0QOd6eafL/D1Z8OTzab46F8T2ONMDU&#10;hLcPKH56ZvCuA9PKW+dw6CTUlHgeKcsG68vT00i1L30E2Q2fsaYhwz5gAhob10dWqE9G6DSA45l0&#10;OQYm6HBRFKv5asmZoNjy6qrI01QyKJ9fW+fDR4k9i0bFHQ01ocPhwYdYDZTPV2Iyg/dK6zRYbdhQ&#10;8dVysUwPLiLxwRZ8xw5AytBttLcYJj30KpAoteorfp3HNR1HBj6YOiEHUHqyKbs2J0oiCxMfYdyN&#10;dDFSs8P6SOQ4nMRHn4WMDt1vzgYSXsX9rz04yZn+ZIjg1bwoolKTUyzfLchxl5HdZQSMIKiKB84m&#10;8y5M6t5bp9qOMk0jNXhLQ2lU4uulqlPdJK5E4+kjRPVe+unWy3fdPAEAAP//AwBQSwMEFAAGAAgA&#10;AAAhAI72GhviAAAADAEAAA8AAABkcnMvZG93bnJldi54bWxMj8FOwzAMhu9IvENkJC5oS5aNaStN&#10;J4SKBKfBmLSr13hpoUmqJt3K2xNOcLT96ff355vRtuxMfWi8UzCbCmDkKq8bZxTsP54nK2AhotPY&#10;ekcKvinApri+yjHT/uLe6byLhqUQFzJUUMfYZZyHqiaLYeo7cul28r3FmMbecN3jJYXblkshltxi&#10;49KHGjt6qqn62g1WwenuUBKKzwZNuX0z5cG/Di8LpW5vxscHYJHG+AfDr35ShyI5Hf3gdGCtAikW&#10;y4QqmMyklMAScr8Wc2DHtJqvJPAi5/9LFD8AAAD//wMAUEsBAi0AFAAGAAgAAAAhALaDOJL+AAAA&#10;4QEAABMAAAAAAAAAAAAAAAAAAAAAAFtDb250ZW50X1R5cGVzXS54bWxQSwECLQAUAAYACAAAACEA&#10;OP0h/9YAAACUAQAACwAAAAAAAAAAAAAAAAAvAQAAX3JlbHMvLnJlbHNQSwECLQAUAAYACAAAACEA&#10;Qxl92hACAAD2AwAADgAAAAAAAAAAAAAAAAAuAgAAZHJzL2Uyb0RvYy54bWxQSwECLQAUAAYACAAA&#10;ACEAjvYaG+IAAAAMAQAADwAAAAAAAAAAAAAAAABqBAAAZHJzL2Rvd25yZXYueG1sUEsFBgAAAAAE&#10;AAQA8wAAAHkFAAAAAA==&#10;" filled="f" stroked="f">
                <v:stroke dashstyle="longDashDot"/>
                <v:textbox>
                  <w:txbxContent>
                    <w:p w14:paraId="4102B101" w14:textId="77777777" w:rsidR="00D7158B" w:rsidRPr="00E20D07" w:rsidRDefault="00D7158B" w:rsidP="00D7158B">
                      <w:pPr>
                        <w:bidi w:val="0"/>
                        <w:spacing w:after="20" w:line="216" w:lineRule="auto"/>
                        <w:rPr>
                          <w:rFonts w:cs="Times New Roman"/>
                          <w:b/>
                          <w:bCs/>
                          <w:color w:val="006666"/>
                          <w:sz w:val="18"/>
                          <w:szCs w:val="18"/>
                        </w:rPr>
                      </w:pPr>
                      <w:r w:rsidRPr="00E20D07">
                        <w:rPr>
                          <w:rFonts w:cs="Times New Roman"/>
                          <w:b/>
                          <w:bCs/>
                          <w:color w:val="006666"/>
                          <w:sz w:val="18"/>
                          <w:szCs w:val="18"/>
                        </w:rPr>
                        <w:t>Qualitative Research in Educational Sciences</w:t>
                      </w:r>
                    </w:p>
                    <w:p w14:paraId="1F4D3A8C" w14:textId="77777777" w:rsidR="00D7158B" w:rsidRDefault="00CA0B30" w:rsidP="006945EB">
                      <w:pPr>
                        <w:bidi w:val="0"/>
                        <w:spacing w:before="40" w:after="20" w:line="216" w:lineRule="auto"/>
                        <w:rPr>
                          <w:rFonts w:cs="Times New Roman"/>
                          <w:b/>
                          <w:bCs/>
                          <w:color w:val="FF0000"/>
                          <w:sz w:val="16"/>
                          <w:szCs w:val="16"/>
                        </w:rPr>
                      </w:pPr>
                      <w:r w:rsidRPr="009E1E7C">
                        <w:rPr>
                          <w:rFonts w:cs="Times New Roman"/>
                          <w:b/>
                          <w:bCs/>
                          <w:color w:val="006666"/>
                          <w:sz w:val="16"/>
                          <w:szCs w:val="16"/>
                        </w:rPr>
                        <w:t>Volume</w:t>
                      </w:r>
                      <w:r w:rsidR="006945EB">
                        <w:rPr>
                          <w:rFonts w:cs="Times New Roman"/>
                          <w:b/>
                          <w:bCs/>
                          <w:color w:val="006666"/>
                          <w:sz w:val="16"/>
                          <w:szCs w:val="16"/>
                        </w:rPr>
                        <w:t>, Issue</w:t>
                      </w:r>
                      <w:r w:rsidR="00D7158B" w:rsidRPr="009E1E7C">
                        <w:rPr>
                          <w:rFonts w:cs="Times New Roman"/>
                          <w:b/>
                          <w:bCs/>
                          <w:color w:val="006666"/>
                          <w:sz w:val="16"/>
                          <w:szCs w:val="16"/>
                        </w:rPr>
                        <w:t xml:space="preserve">, </w:t>
                      </w:r>
                      <w:r>
                        <w:rPr>
                          <w:rFonts w:cs="Times New Roman"/>
                          <w:b/>
                          <w:bCs/>
                          <w:color w:val="006666"/>
                          <w:sz w:val="16"/>
                          <w:szCs w:val="16"/>
                        </w:rPr>
                        <w:t>Season</w:t>
                      </w:r>
                      <w:r w:rsidR="00D7158B" w:rsidRPr="009E1E7C">
                        <w:rPr>
                          <w:rFonts w:cs="Times New Roman"/>
                          <w:b/>
                          <w:bCs/>
                          <w:color w:val="006666"/>
                          <w:sz w:val="16"/>
                          <w:szCs w:val="16"/>
                        </w:rPr>
                        <w:t xml:space="preserve"> </w:t>
                      </w:r>
                      <w:r w:rsidR="00255F75">
                        <w:rPr>
                          <w:rFonts w:cs="Times New Roman"/>
                          <w:b/>
                          <w:bCs/>
                          <w:color w:val="006666"/>
                          <w:sz w:val="16"/>
                          <w:szCs w:val="16"/>
                        </w:rPr>
                        <w:t>/ Year</w:t>
                      </w:r>
                    </w:p>
                    <w:p w14:paraId="70CBD5C3" w14:textId="77777777" w:rsidR="00D7158B" w:rsidRPr="001D2C10" w:rsidRDefault="00D7158B" w:rsidP="009B470E">
                      <w:pPr>
                        <w:bidi w:val="0"/>
                        <w:spacing w:before="40" w:after="120" w:line="216" w:lineRule="auto"/>
                        <w:rPr>
                          <w:rFonts w:cs="Times New Roman"/>
                          <w:b/>
                          <w:bCs/>
                          <w:color w:val="006666"/>
                          <w:sz w:val="16"/>
                          <w:szCs w:val="16"/>
                        </w:rPr>
                      </w:pPr>
                      <w:r w:rsidRPr="001D2C10">
                        <w:rPr>
                          <w:rFonts w:cs="Times New Roman"/>
                          <w:b/>
                          <w:bCs/>
                          <w:color w:val="006666"/>
                          <w:sz w:val="16"/>
                          <w:szCs w:val="16"/>
                        </w:rPr>
                        <w:t>https://doi.org/10.71839/QRES.2025.</w:t>
                      </w:r>
                    </w:p>
                    <w:p w14:paraId="56D48FED" w14:textId="77777777" w:rsidR="00D7158B" w:rsidRDefault="00D7158B" w:rsidP="00D7158B">
                      <w:pPr>
                        <w:bidi w:val="0"/>
                        <w:spacing w:before="40" w:after="20" w:line="216" w:lineRule="auto"/>
                        <w:rPr>
                          <w:rFonts w:cs="Times New Roman"/>
                          <w:b/>
                          <w:bCs/>
                          <w:color w:val="FF0000"/>
                          <w:sz w:val="16"/>
                          <w:szCs w:val="16"/>
                        </w:rPr>
                      </w:pPr>
                    </w:p>
                    <w:p w14:paraId="33A25B21" w14:textId="77777777" w:rsidR="00D7158B" w:rsidRPr="007F5BF8" w:rsidRDefault="00D7158B" w:rsidP="00D7158B">
                      <w:pPr>
                        <w:bidi w:val="0"/>
                        <w:spacing w:before="40" w:after="20" w:line="216" w:lineRule="auto"/>
                        <w:rPr>
                          <w:rFonts w:cs="Times New Roman"/>
                          <w:b/>
                          <w:bCs/>
                          <w:color w:val="FF0000"/>
                          <w:sz w:val="16"/>
                          <w:szCs w:val="16"/>
                        </w:rPr>
                      </w:pPr>
                    </w:p>
                  </w:txbxContent>
                </v:textbox>
                <w10:wrap anchorx="margin"/>
              </v:shape>
            </w:pict>
          </mc:Fallback>
        </mc:AlternateContent>
      </w:r>
      <w:r>
        <w:rPr>
          <w:rFonts w:hint="cs"/>
          <w:noProof/>
          <w:rtl/>
        </w:rPr>
        <mc:AlternateContent>
          <mc:Choice Requires="wps">
            <w:drawing>
              <wp:anchor distT="0" distB="0" distL="114300" distR="114300" simplePos="0" relativeHeight="251662336" behindDoc="0" locked="0" layoutInCell="1" allowOverlap="1" wp14:anchorId="0B6DC92A" wp14:editId="0DCAF7AC">
                <wp:simplePos x="0" y="0"/>
                <wp:positionH relativeFrom="column">
                  <wp:posOffset>-129222</wp:posOffset>
                </wp:positionH>
                <wp:positionV relativeFrom="paragraph">
                  <wp:posOffset>58420</wp:posOffset>
                </wp:positionV>
                <wp:extent cx="1845945" cy="482600"/>
                <wp:effectExtent l="0" t="0" r="20955" b="12700"/>
                <wp:wrapNone/>
                <wp:docPr id="10" name="Rounded Rectangle 10"/>
                <wp:cNvGraphicFramePr/>
                <a:graphic xmlns:a="http://schemas.openxmlformats.org/drawingml/2006/main">
                  <a:graphicData uri="http://schemas.microsoft.com/office/word/2010/wordprocessingShape">
                    <wps:wsp>
                      <wps:cNvSpPr/>
                      <wps:spPr>
                        <a:xfrm>
                          <a:off x="0" y="0"/>
                          <a:ext cx="1845945" cy="482600"/>
                        </a:xfrm>
                        <a:prstGeom prst="roundRect">
                          <a:avLst/>
                        </a:prstGeom>
                        <a:no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311D8D" id="Rounded Rectangle 10" o:spid="_x0000_s1026" style="position:absolute;margin-left:-10.15pt;margin-top:4.6pt;width:145.35pt;height:38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bNxoAIAAJQFAAAOAAAAZHJzL2Uyb0RvYy54bWysVE1v2zAMvQ/YfxB0X+0ESdcGdYqgRYcB&#10;RVukHXpWZCk2IIuapMTJfv1I+aNBV+wwzAdZFMlH8oni1fWhMWyvfKjBFnxylnOmrISyttuC/3i5&#10;+3LBWYjClsKAVQU/qsCvl58/XbVuoaZQgSmVZwhiw6J1Ba9idIssC7JSjQhn4JRFpQbfiIii32al&#10;Fy2iNyab5vl51oIvnQepQsDT207JlwlfayXjo9ZBRWYKjrnFtPq0bmjNlldisfXCVbXs0xD/kEUj&#10;aotBR6hbEQXb+foPqKaWHgLoeCahyUDrWqpUA1Yzyd9V81wJp1ItSE5wI03h/8HKh/2TZ3WJd4f0&#10;WNHgHa1hZ0tVsjWyJ+zWKIY6JKp1YYH2z+7J91LALVV90L6hP9bDDonc40iuOkQm8XByMZtfzuac&#10;SdTNLqbneQLN3rydD/GbgobRpuCe0qAcErFifx8ihkX7wY4iWrirjUm3aCwdBDB1SWdJ8NvNjfFs&#10;L+j683P8qBDEODFDiVwzKq8rKO3i0SjCMHatNDKEJUxTJqk31QgrpFQ2TjpVJUrVRZvn+A3BqJvJ&#10;I4VOgISsMcsRuwcYLDuQAbvLubcnV5Vae3TO/5ZY5zx6pMhg4+jc1Bb8RwAGq+ojd/YDSR01xNIG&#10;yiP2j4fuYQUn72q8vHsR4pPw+JKwqXA6xEdctIG24NDvOKvA//ronOyxwVHLWYsvs+Dh5054xZn5&#10;brH1LyezGT3lJMzmX6co+FPN5lRjd80N4O1PcA45mbZkH82w1R6aVxwiK4qKKmElxi64jH4QbmI3&#10;MXAMSbVaJTN8vk7Ee/vsJIETq9SXL4dX4V3fwRF7/wGGVywW73q4syVPC6tdBF2nBn/jtecbn35q&#10;nH5M0Ww5lZPV2zBd/gYAAP//AwBQSwMEFAAGAAgAAAAhAE6pKgHdAAAACAEAAA8AAABkcnMvZG93&#10;bnJldi54bWxMj8FOwzAQRO9I/IO1SNxaG0ObEOJUUIkbIFE49Li1N3FEbEex24a/x5zguJrRm7f1&#10;ZnYDO9EU++AV3CwFMPI6mN53Cj4/nhclsJjQGxyCJwXfFGHTXF7UWJlw9u902qWOZYiPFSqwKY0V&#10;51FbchiXYSSfszZMDlM+p46bCc8Z7gYuhVhzh73PCxZH2lrSX7ujU1DiayjtE/H9elXotmj1dv/2&#10;otT11fz4ACzRnP7K8Kuf1aHJTodw9CayQcFCittcVXAvgeVcFuIO2CHDVxJ4U/P/DzQ/AAAA//8D&#10;AFBLAQItABQABgAIAAAAIQC2gziS/gAAAOEBAAATAAAAAAAAAAAAAAAAAAAAAABbQ29udGVudF9U&#10;eXBlc10ueG1sUEsBAi0AFAAGAAgAAAAhADj9If/WAAAAlAEAAAsAAAAAAAAAAAAAAAAALwEAAF9y&#10;ZWxzLy5yZWxzUEsBAi0AFAAGAAgAAAAhAHtJs3GgAgAAlAUAAA4AAAAAAAAAAAAAAAAALgIAAGRy&#10;cy9lMm9Eb2MueG1sUEsBAi0AFAAGAAgAAAAhAE6pKgHdAAAACAEAAA8AAAAAAAAAAAAAAAAA+gQA&#10;AGRycy9kb3ducmV2LnhtbFBLBQYAAAAABAAEAPMAAAAEBgAAAAA=&#10;" filled="f" strokecolor="#066" strokeweight="1pt">
                <v:stroke joinstyle="miter"/>
              </v:roundrect>
            </w:pict>
          </mc:Fallback>
        </mc:AlternateContent>
      </w:r>
    </w:p>
    <w:p w14:paraId="77DF7A03" w14:textId="77777777" w:rsidR="00D7158B" w:rsidRPr="00E775BA" w:rsidRDefault="00D7158B" w:rsidP="00D7158B">
      <w:pPr>
        <w:bidi w:val="0"/>
        <w:spacing w:line="240" w:lineRule="auto"/>
        <w:rPr>
          <w:rFonts w:asciiTheme="majorBidi" w:hAnsiTheme="majorBidi" w:cstheme="majorBidi"/>
          <w:b/>
          <w:bCs/>
          <w:i/>
          <w:iCs/>
          <w:color w:val="006666"/>
          <w:sz w:val="28"/>
          <w:szCs w:val="28"/>
          <w:rtl/>
        </w:rPr>
      </w:pPr>
      <w:r>
        <w:rPr>
          <w:rFonts w:asciiTheme="majorBidi" w:hAnsiTheme="majorBidi" w:cstheme="majorBidi"/>
          <w:b/>
          <w:bCs/>
          <w:i/>
          <w:iCs/>
          <w:color w:val="006666"/>
          <w:sz w:val="28"/>
          <w:szCs w:val="28"/>
        </w:rPr>
        <w:t xml:space="preserve">  </w:t>
      </w:r>
      <w:r w:rsidRPr="00E775BA">
        <w:rPr>
          <w:rFonts w:asciiTheme="majorBidi" w:hAnsiTheme="majorBidi" w:cstheme="majorBidi"/>
          <w:b/>
          <w:bCs/>
          <w:i/>
          <w:iCs/>
          <w:color w:val="006666"/>
          <w:sz w:val="28"/>
          <w:szCs w:val="28"/>
        </w:rPr>
        <w:t>Extended Abstract</w:t>
      </w:r>
    </w:p>
    <w:p w14:paraId="5358C54B" w14:textId="77777777" w:rsidR="00D7158B" w:rsidRDefault="00D7158B" w:rsidP="00D7158B">
      <w:pPr>
        <w:bidi w:val="0"/>
        <w:spacing w:before="40" w:after="20" w:line="216" w:lineRule="auto"/>
        <w:rPr>
          <w:rFonts w:cs="Times New Roman"/>
          <w:b/>
          <w:bCs/>
          <w:color w:val="FF0000"/>
          <w:sz w:val="16"/>
          <w:szCs w:val="16"/>
        </w:rPr>
      </w:pPr>
    </w:p>
    <w:p w14:paraId="0F959FFF" w14:textId="77777777" w:rsidR="00D7158B" w:rsidRPr="007F5BF8" w:rsidRDefault="00D7158B" w:rsidP="00D7158B">
      <w:pPr>
        <w:bidi w:val="0"/>
        <w:spacing w:before="40" w:after="20" w:line="216" w:lineRule="auto"/>
        <w:rPr>
          <w:rFonts w:cs="Times New Roman"/>
          <w:b/>
          <w:bCs/>
          <w:color w:val="FF0000"/>
          <w:sz w:val="16"/>
          <w:szCs w:val="16"/>
        </w:rPr>
      </w:pPr>
    </w:p>
    <w:p w14:paraId="7A27B3A1" w14:textId="77777777" w:rsidR="00D7158B" w:rsidRPr="0044209E" w:rsidRDefault="00D7158B" w:rsidP="00D7158B">
      <w:pPr>
        <w:bidi w:val="0"/>
        <w:spacing w:before="120" w:line="192" w:lineRule="auto"/>
        <w:ind w:firstLine="284"/>
        <w:jc w:val="center"/>
        <w:rPr>
          <w:rFonts w:cs="B Titr"/>
          <w:b/>
          <w:bCs/>
          <w:color w:val="006666"/>
          <w:sz w:val="16"/>
          <w:szCs w:val="16"/>
          <w:rtl/>
        </w:rPr>
      </w:pPr>
    </w:p>
    <w:p w14:paraId="602317F4" w14:textId="528B2F53" w:rsidR="00D7158B" w:rsidRPr="00616B93" w:rsidRDefault="007C7A03" w:rsidP="00460CA6">
      <w:pPr>
        <w:tabs>
          <w:tab w:val="left" w:pos="284"/>
        </w:tabs>
        <w:bidi w:val="0"/>
        <w:spacing w:line="240" w:lineRule="auto"/>
        <w:ind w:firstLine="284"/>
        <w:jc w:val="center"/>
        <w:rPr>
          <w:rFonts w:cs="B Titr"/>
          <w:b/>
          <w:bCs/>
          <w:color w:val="006666"/>
          <w:sz w:val="23"/>
          <w:szCs w:val="23"/>
        </w:rPr>
      </w:pPr>
      <w:bookmarkStart w:id="1" w:name="_Hlk197453498"/>
      <w:r w:rsidRPr="007C7A03">
        <w:rPr>
          <w:rFonts w:cs="B Titr"/>
          <w:b/>
          <w:bCs/>
          <w:color w:val="006666"/>
          <w:sz w:val="23"/>
          <w:szCs w:val="23"/>
        </w:rPr>
        <w:t>The Role of University Counseling Centers in Preventing Students' Academic Decline: Identifying Effective Interventions, Barriers and Solutions</w:t>
      </w:r>
      <w:r w:rsidR="00D7158B" w:rsidRPr="000B7E3A">
        <w:rPr>
          <w:rStyle w:val="FootnoteReference"/>
          <w:rFonts w:cs="B Titr"/>
          <w:b/>
          <w:bCs/>
          <w:color w:val="FFFFFF" w:themeColor="background1"/>
          <w:sz w:val="23"/>
          <w:szCs w:val="23"/>
        </w:rPr>
        <w:footnoteReference w:id="1"/>
      </w:r>
    </w:p>
    <w:bookmarkEnd w:id="1"/>
    <w:p w14:paraId="3D5ADE35" w14:textId="77777777" w:rsidR="00D7158B" w:rsidRPr="00F41CF2" w:rsidRDefault="00D7158B" w:rsidP="00D7158B">
      <w:pPr>
        <w:pStyle w:val="footnote"/>
        <w:jc w:val="center"/>
        <w:rPr>
          <w:rFonts w:cs="B Titr"/>
          <w:b/>
          <w:bCs/>
          <w:color w:val="000000" w:themeColor="text1"/>
          <w:sz w:val="28"/>
          <w:szCs w:val="28"/>
          <w:lang w:val="en-US" w:eastAsia="en-US" w:bidi="fa-IR"/>
        </w:rPr>
      </w:pPr>
    </w:p>
    <w:p w14:paraId="602D77BB" w14:textId="77777777" w:rsidR="00E81453" w:rsidRPr="00E81453" w:rsidRDefault="00E81453" w:rsidP="00E81453">
      <w:pPr>
        <w:pStyle w:val="footnote"/>
        <w:jc w:val="center"/>
        <w:rPr>
          <w:rFonts w:cs="B Titr"/>
          <w:color w:val="000000" w:themeColor="text1"/>
          <w:sz w:val="18"/>
          <w:szCs w:val="18"/>
        </w:rPr>
      </w:pPr>
      <w:r w:rsidRPr="00E81453">
        <w:rPr>
          <w:rFonts w:cs="B Titr"/>
          <w:color w:val="000000" w:themeColor="text1"/>
          <w:sz w:val="18"/>
          <w:szCs w:val="18"/>
        </w:rPr>
        <w:t xml:space="preserve">Author’s Name and Family Name </w:t>
      </w:r>
      <w:r w:rsidRPr="00E81453">
        <w:rPr>
          <w:rFonts w:cs="B Titr"/>
          <w:color w:val="000000" w:themeColor="text1"/>
          <w:sz w:val="18"/>
          <w:szCs w:val="18"/>
          <w:vertAlign w:val="superscript"/>
        </w:rPr>
        <w:t>doi1*1</w:t>
      </w:r>
    </w:p>
    <w:p w14:paraId="620B66AD" w14:textId="77B11988" w:rsidR="00D7158B" w:rsidRPr="000A3FFE" w:rsidRDefault="00D7158B" w:rsidP="00B7196F">
      <w:pPr>
        <w:pStyle w:val="footnote"/>
        <w:spacing w:after="40"/>
        <w:ind w:left="-340" w:right="-284"/>
        <w:jc w:val="center"/>
        <w:rPr>
          <w:rFonts w:cs="B Titr"/>
          <w:color w:val="000000" w:themeColor="text1"/>
          <w:sz w:val="18"/>
          <w:szCs w:val="18"/>
          <w:lang w:val="en-US" w:eastAsia="en-US" w:bidi="fa-IR"/>
        </w:rPr>
      </w:pPr>
    </w:p>
    <w:p w14:paraId="6A6EE95D" w14:textId="77777777" w:rsidR="00D7158B" w:rsidRPr="00D10D36" w:rsidRDefault="00D7158B" w:rsidP="00D7158B">
      <w:pPr>
        <w:spacing w:line="240" w:lineRule="auto"/>
        <w:rPr>
          <w:rFonts w:cs="B Titr"/>
          <w:b/>
          <w:bCs/>
          <w:color w:val="000000"/>
          <w:szCs w:val="22"/>
          <w:rtl/>
        </w:rPr>
      </w:pPr>
      <w:r>
        <w:rPr>
          <w:rFonts w:cs="B Mitra"/>
          <w:noProof/>
          <w:rtl/>
        </w:rPr>
        <mc:AlternateContent>
          <mc:Choice Requires="wps">
            <w:drawing>
              <wp:anchor distT="0" distB="0" distL="114300" distR="114300" simplePos="0" relativeHeight="251661312" behindDoc="0" locked="0" layoutInCell="1" allowOverlap="1" wp14:anchorId="394F2EEF" wp14:editId="2DC84CF5">
                <wp:simplePos x="0" y="0"/>
                <wp:positionH relativeFrom="margin">
                  <wp:align>right</wp:align>
                </wp:positionH>
                <wp:positionV relativeFrom="paragraph">
                  <wp:posOffset>142240</wp:posOffset>
                </wp:positionV>
                <wp:extent cx="4676775" cy="673100"/>
                <wp:effectExtent l="0" t="0" r="28575" b="12700"/>
                <wp:wrapNone/>
                <wp:docPr id="5" name="Rounded Rectangle 5"/>
                <wp:cNvGraphicFramePr/>
                <a:graphic xmlns:a="http://schemas.openxmlformats.org/drawingml/2006/main">
                  <a:graphicData uri="http://schemas.microsoft.com/office/word/2010/wordprocessingShape">
                    <wps:wsp>
                      <wps:cNvSpPr/>
                      <wps:spPr>
                        <a:xfrm>
                          <a:off x="0" y="0"/>
                          <a:ext cx="4676775" cy="673100"/>
                        </a:xfrm>
                        <a:prstGeom prst="roundRect">
                          <a:avLst/>
                        </a:prstGeom>
                        <a:no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D81AD2C" id="Rounded Rectangle 5" o:spid="_x0000_s1026" style="position:absolute;margin-left:317.05pt;margin-top:11.2pt;width:368.25pt;height:53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rcgnwIAAJIFAAAOAAAAZHJzL2Uyb0RvYy54bWysVEtv2zAMvg/YfxB0X+1keWxBnSJo0WFA&#10;0QZth54VWUoMyKImKXGyXz9SfjToih2G5eCIIvmR/ETy8upYG3ZQPlRgCz66yDlTVkJZ2W3Bfzzf&#10;fvrCWYjClsKAVQU/qcCvlh8/XDZuocawA1MqzxDEhkXjCr6L0S2yLMidqkW4AKcsKjX4WkQU/TYr&#10;vWgQvTbZOM9nWQO+dB6kCgFvb1olXyZ8rZWMD1oHFZkpOOYW09en74a+2fJSLLZeuF0luzTEP2RR&#10;i8pi0AHqRkTB9r76A6qupIcAOl5IqDPQupIq1YDVjPI31TzthFOpFiQnuIGm8P9g5f1h7VlVFnzK&#10;mRU1PtEj7G2pSvaI5Am7NYpNiabGhQVaP7m176SAR6r5qH1N/1gNOyZqTwO16hiZxMvJbD6bzzGG&#10;RN1s/nmUJ+6zV2/nQ/ymoGZ0KLinLCiFRKs43IWIYdG+t6OIFm4rY9IbGksXAUxV0l0S/HZzbTw7&#10;CHr8fIY/KgQxzsxQIteMymsLSqd4MoowjH1UGvnBEsYpk9SZaoAVUiobR61qJ0rVRpvm+OuDUS+T&#10;RwqdAAlZY5YDdgfQW7YgPXabc2dPrio19uCc/y2x1nnwSJHBxsG5riz49wAMVtVFbu17klpqiKUN&#10;lCfsHg/tWAUnbyt8vDsR4lp4nCOcONwN8QE/2kBTcOhOnO3A/3rvnuyxvVHLWYNzWfDwcy+84sx8&#10;t9j4X0eTCQ1yEibT+RgFf67ZnGvsvr4GfP0RbiEn05Hso+mP2kP9gitkRVFRJazE2AWX0ffCdWz3&#10;BS4hqVarZIbD60S8s09OEjixSn35fHwR3nUdHLH376GfYbF408OtLXlaWO0j6Co1+CuvHd84+Klx&#10;uiVFm+VcTlavq3T5GwAA//8DAFBLAwQUAAYACAAAACEAbRzpzdwAAAAHAQAADwAAAGRycy9kb3du&#10;cmV2LnhtbEyPwU7DMBBE70j8g7VI3KjT0CZRiFNBJW6AROHQoxtv4qjxOordNvw9y4keRzOaeVNt&#10;ZjeIM06h96RguUhAIDXe9NQp+P56fShAhKjJ6METKvjBAJv69qbSpfEX+sTzLnaCSyiUWoGNcSyl&#10;DI1Fp8PCj0jstX5yOrKcOmkmfeFyN8g0STLpdE+8YPWIW4vNcXdyCgr97gv7gnKfrfOmzdtmu/94&#10;U+r+bn5+AhFxjv9h+MNndKiZ6eBPZIIYFPCRqCBNVyDYzR+zNYgDx9JiBbKu5DV//QsAAP//AwBQ&#10;SwECLQAUAAYACAAAACEAtoM4kv4AAADhAQAAEwAAAAAAAAAAAAAAAAAAAAAAW0NvbnRlbnRfVHlw&#10;ZXNdLnhtbFBLAQItABQABgAIAAAAIQA4/SH/1gAAAJQBAAALAAAAAAAAAAAAAAAAAC8BAABfcmVs&#10;cy8ucmVsc1BLAQItABQABgAIAAAAIQBv0rcgnwIAAJIFAAAOAAAAAAAAAAAAAAAAAC4CAABkcnMv&#10;ZTJvRG9jLnhtbFBLAQItABQABgAIAAAAIQBtHOnN3AAAAAcBAAAPAAAAAAAAAAAAAAAAAPkEAABk&#10;cnMvZG93bnJldi54bWxQSwUGAAAAAAQABADzAAAAAgYAAAAA&#10;" filled="f" strokecolor="#066" strokeweight="1pt">
                <v:stroke joinstyle="miter"/>
                <w10:wrap anchorx="margin"/>
              </v:roundrect>
            </w:pict>
          </mc:Fallback>
        </mc:AlternateContent>
      </w:r>
    </w:p>
    <w:p w14:paraId="3EC4FE76" w14:textId="77777777" w:rsidR="00E81453" w:rsidRPr="00E81453" w:rsidRDefault="00E81453" w:rsidP="00E81453">
      <w:pPr>
        <w:tabs>
          <w:tab w:val="left" w:pos="3975"/>
          <w:tab w:val="center" w:pos="4680"/>
        </w:tabs>
        <w:bidi w:val="0"/>
        <w:spacing w:before="80" w:line="240" w:lineRule="auto"/>
        <w:jc w:val="both"/>
        <w:outlineLvl w:val="2"/>
        <w:rPr>
          <w:rFonts w:cs="B Titr"/>
          <w:color w:val="000000" w:themeColor="text1"/>
          <w:sz w:val="16"/>
          <w:szCs w:val="16"/>
          <w:vertAlign w:val="superscript"/>
        </w:rPr>
      </w:pPr>
      <w:r w:rsidRPr="00E81453">
        <w:rPr>
          <w:rFonts w:cs="B Titr"/>
          <w:color w:val="000000" w:themeColor="text1"/>
          <w:sz w:val="16"/>
          <w:szCs w:val="16"/>
          <w:vertAlign w:val="superscript"/>
        </w:rPr>
        <w:t>1* Affiliation</w:t>
      </w:r>
    </w:p>
    <w:p w14:paraId="2662C258" w14:textId="77777777" w:rsidR="00E81453" w:rsidRPr="00E81453" w:rsidRDefault="00E81453" w:rsidP="00E81453">
      <w:pPr>
        <w:tabs>
          <w:tab w:val="left" w:pos="3975"/>
          <w:tab w:val="center" w:pos="4680"/>
        </w:tabs>
        <w:bidi w:val="0"/>
        <w:spacing w:before="80" w:line="240" w:lineRule="auto"/>
        <w:jc w:val="both"/>
        <w:outlineLvl w:val="2"/>
        <w:rPr>
          <w:rFonts w:cs="B Titr"/>
          <w:color w:val="000000" w:themeColor="text1"/>
          <w:sz w:val="16"/>
          <w:szCs w:val="16"/>
          <w:vertAlign w:val="superscript"/>
          <w:rtl/>
          <w:lang w:bidi="ar-SA"/>
        </w:rPr>
      </w:pPr>
      <w:r w:rsidRPr="00E81453">
        <w:rPr>
          <w:rFonts w:cs="B Titr"/>
          <w:color w:val="000000" w:themeColor="text1"/>
          <w:sz w:val="16"/>
          <w:szCs w:val="16"/>
          <w:vertAlign w:val="superscript"/>
        </w:rPr>
        <w:t xml:space="preserve"> 2 Affiliation</w:t>
      </w:r>
    </w:p>
    <w:p w14:paraId="1BD75B01" w14:textId="77777777" w:rsidR="00D7158B" w:rsidRDefault="00D7158B" w:rsidP="00D7158B">
      <w:pPr>
        <w:tabs>
          <w:tab w:val="left" w:pos="3975"/>
          <w:tab w:val="center" w:pos="4680"/>
        </w:tabs>
        <w:bidi w:val="0"/>
        <w:spacing w:before="80" w:line="240" w:lineRule="auto"/>
        <w:jc w:val="both"/>
        <w:outlineLvl w:val="2"/>
        <w:rPr>
          <w:rFonts w:cs="B Zar"/>
          <w:b/>
          <w:bCs/>
          <w:color w:val="006666"/>
          <w:szCs w:val="22"/>
        </w:rPr>
      </w:pPr>
    </w:p>
    <w:p w14:paraId="4F3E4C6E" w14:textId="77777777" w:rsidR="009B470E" w:rsidRDefault="009B470E" w:rsidP="009B470E">
      <w:pPr>
        <w:tabs>
          <w:tab w:val="left" w:pos="3975"/>
          <w:tab w:val="center" w:pos="4680"/>
        </w:tabs>
        <w:bidi w:val="0"/>
        <w:spacing w:line="240" w:lineRule="auto"/>
        <w:jc w:val="both"/>
        <w:outlineLvl w:val="2"/>
        <w:rPr>
          <w:rFonts w:cs="B Zar"/>
          <w:b/>
          <w:bCs/>
          <w:color w:val="006666"/>
          <w:szCs w:val="22"/>
        </w:rPr>
      </w:pPr>
    </w:p>
    <w:p w14:paraId="2406ECC8" w14:textId="77777777" w:rsidR="00D7158B" w:rsidRPr="006C1AAE" w:rsidRDefault="00D7158B" w:rsidP="00255F75">
      <w:pPr>
        <w:tabs>
          <w:tab w:val="left" w:pos="3975"/>
          <w:tab w:val="center" w:pos="4680"/>
        </w:tabs>
        <w:bidi w:val="0"/>
        <w:spacing w:before="240" w:after="120" w:line="240" w:lineRule="auto"/>
        <w:jc w:val="both"/>
        <w:outlineLvl w:val="2"/>
        <w:rPr>
          <w:rFonts w:cs="B Zar"/>
          <w:b/>
          <w:bCs/>
          <w:color w:val="006666"/>
          <w:szCs w:val="22"/>
        </w:rPr>
      </w:pPr>
      <w:r w:rsidRPr="006C1AAE">
        <w:rPr>
          <w:rFonts w:cs="B Zar"/>
          <w:b/>
          <w:bCs/>
          <w:color w:val="006666"/>
          <w:szCs w:val="22"/>
        </w:rPr>
        <w:t xml:space="preserve">Introduction </w:t>
      </w:r>
    </w:p>
    <w:p w14:paraId="1AF277A8" w14:textId="18615A75" w:rsidR="00425921" w:rsidRDefault="00425921" w:rsidP="00255C0A">
      <w:pPr>
        <w:shd w:val="clear" w:color="auto" w:fill="FFFFFF"/>
        <w:bidi w:val="0"/>
        <w:spacing w:before="240" w:after="120" w:line="240" w:lineRule="auto"/>
        <w:jc w:val="both"/>
        <w:rPr>
          <w:rFonts w:cs="B Zar"/>
          <w:color w:val="000000"/>
          <w:sz w:val="24"/>
          <w:szCs w:val="24"/>
          <w:rtl/>
        </w:rPr>
      </w:pPr>
      <w:r w:rsidRPr="00255C0A">
        <w:rPr>
          <w:rFonts w:eastAsia="Times New Roman" w:cs="Times New Roman"/>
          <w:sz w:val="24"/>
          <w:szCs w:val="24"/>
        </w:rPr>
        <w:t xml:space="preserve">Academic decline is one of the major challenges in higher education systems, which can lead to consequences such as reduced academic performance, psychological problems, and ultimately student dropout (Barnett et al., 2023; Zhang &amp; Li, 2024). Research shows that various </w:t>
      </w:r>
      <w:proofErr w:type="gramStart"/>
      <w:r w:rsidRPr="00255C0A">
        <w:rPr>
          <w:rFonts w:eastAsia="Times New Roman" w:cs="Times New Roman"/>
          <w:sz w:val="24"/>
          <w:szCs w:val="24"/>
        </w:rPr>
        <w:t>factors</w:t>
      </w:r>
      <w:proofErr w:type="gramEnd"/>
      <w:r w:rsidRPr="00255C0A">
        <w:rPr>
          <w:rFonts w:eastAsia="Times New Roman" w:cs="Times New Roman"/>
          <w:sz w:val="24"/>
          <w:szCs w:val="24"/>
        </w:rPr>
        <w:t>, including individual, family, social, and educational variables, play a role in the occurrence of this phenomenon (</w:t>
      </w:r>
      <w:proofErr w:type="spellStart"/>
      <w:r w:rsidRPr="00255C0A">
        <w:rPr>
          <w:rFonts w:eastAsia="Times New Roman" w:cs="Times New Roman"/>
          <w:sz w:val="24"/>
          <w:szCs w:val="24"/>
        </w:rPr>
        <w:t>Afzaligoroh</w:t>
      </w:r>
      <w:proofErr w:type="spellEnd"/>
      <w:r w:rsidRPr="00255C0A">
        <w:rPr>
          <w:rFonts w:eastAsia="Times New Roman" w:cs="Times New Roman"/>
          <w:sz w:val="24"/>
          <w:szCs w:val="24"/>
        </w:rPr>
        <w:t xml:space="preserve"> et al., 2024; </w:t>
      </w:r>
      <w:proofErr w:type="spellStart"/>
      <w:r w:rsidRPr="00255C0A">
        <w:rPr>
          <w:rFonts w:eastAsia="Times New Roman" w:cs="Times New Roman"/>
          <w:sz w:val="24"/>
          <w:szCs w:val="24"/>
        </w:rPr>
        <w:t>Taklubigeishi</w:t>
      </w:r>
      <w:proofErr w:type="spellEnd"/>
      <w:r w:rsidRPr="00255C0A">
        <w:rPr>
          <w:rFonts w:eastAsia="Times New Roman" w:cs="Times New Roman"/>
          <w:sz w:val="24"/>
          <w:szCs w:val="24"/>
        </w:rPr>
        <w:t xml:space="preserve"> et al., 2024). In recent years, some studies have emphasized </w:t>
      </w:r>
      <w:r w:rsidRPr="00255C0A">
        <w:rPr>
          <w:rFonts w:eastAsia="Times New Roman" w:cs="Times New Roman"/>
          <w:sz w:val="24"/>
          <w:szCs w:val="24"/>
        </w:rPr>
        <w:lastRenderedPageBreak/>
        <w:t xml:space="preserve">the role of educational and psychological interventions, including strengthening academic motivation, teaching learning skills, and providing counseling services in preventing academic decline (Cohen </w:t>
      </w:r>
      <w:r w:rsidR="005D33D4">
        <w:rPr>
          <w:rFonts w:eastAsia="Times New Roman" w:cs="Times New Roman"/>
          <w:sz w:val="24"/>
          <w:szCs w:val="24"/>
        </w:rPr>
        <w:t>et al</w:t>
      </w:r>
      <w:r w:rsidRPr="00255C0A">
        <w:rPr>
          <w:rFonts w:eastAsia="Times New Roman" w:cs="Times New Roman"/>
          <w:sz w:val="24"/>
          <w:szCs w:val="24"/>
        </w:rPr>
        <w:t>, 202</w:t>
      </w:r>
      <w:r w:rsidR="005D33D4">
        <w:rPr>
          <w:rFonts w:eastAsia="Times New Roman" w:cs="Times New Roman"/>
          <w:sz w:val="24"/>
          <w:szCs w:val="24"/>
        </w:rPr>
        <w:t>2</w:t>
      </w:r>
      <w:r w:rsidRPr="00255C0A">
        <w:rPr>
          <w:rFonts w:eastAsia="Times New Roman" w:cs="Times New Roman"/>
          <w:sz w:val="24"/>
          <w:szCs w:val="24"/>
        </w:rPr>
        <w:t>; Williams &amp; Brown, 2023). In this context, university counseling centers, as one of the support structures in universities, can play an effective role in preventing academic decline by identifying students' needs and problems and providing appropriate interventions. However, the systematic role of these centers and the factors affecting students' utilization of counseling services have been less comprehensively examined. Therefore, the present study was conducted with the aim of investigating the role of university counseling centers in preventing students' academic decline and identifying effective interventions in this area</w:t>
      </w:r>
      <w:r w:rsidRPr="00425921">
        <w:rPr>
          <w:rFonts w:eastAsia="Times New Roman" w:cs="Times New Roman"/>
          <w:szCs w:val="22"/>
          <w:rtl/>
        </w:rPr>
        <w:t>.</w:t>
      </w:r>
    </w:p>
    <w:p w14:paraId="7150D456" w14:textId="15988C21" w:rsidR="00D7158B" w:rsidRPr="006C1AAE" w:rsidRDefault="00D7158B" w:rsidP="00425921">
      <w:pPr>
        <w:shd w:val="clear" w:color="auto" w:fill="FFFFFF"/>
        <w:bidi w:val="0"/>
        <w:spacing w:before="240" w:after="120" w:line="240" w:lineRule="auto"/>
        <w:jc w:val="both"/>
        <w:rPr>
          <w:rFonts w:cs="B Zar"/>
          <w:b/>
          <w:bCs/>
          <w:color w:val="006666"/>
          <w:szCs w:val="22"/>
        </w:rPr>
      </w:pPr>
      <w:r w:rsidRPr="006C1AAE">
        <w:rPr>
          <w:rFonts w:cs="B Zar"/>
          <w:b/>
          <w:bCs/>
          <w:color w:val="006666"/>
          <w:szCs w:val="22"/>
        </w:rPr>
        <w:t>Methodology</w:t>
      </w:r>
    </w:p>
    <w:p w14:paraId="1DB4BFC7" w14:textId="77777777" w:rsidR="00255C0A" w:rsidRDefault="00255C0A" w:rsidP="00CA0B30">
      <w:pPr>
        <w:spacing w:line="240" w:lineRule="auto"/>
        <w:jc w:val="lowKashida"/>
        <w:rPr>
          <w:rFonts w:eastAsia="Times New Roman" w:cs="Times New Roman"/>
          <w:szCs w:val="22"/>
          <w:rtl/>
        </w:rPr>
      </w:pPr>
      <w:r w:rsidRPr="00255C0A">
        <w:rPr>
          <w:rFonts w:eastAsia="Times New Roman" w:cs="Times New Roman"/>
          <w:szCs w:val="22"/>
        </w:rPr>
        <w:t>The present study was conducted using a qualitative approach and descriptive phenomenological method (</w:t>
      </w:r>
      <w:proofErr w:type="spellStart"/>
      <w:r w:rsidRPr="00255C0A">
        <w:rPr>
          <w:rFonts w:eastAsia="Times New Roman" w:cs="Times New Roman"/>
          <w:szCs w:val="22"/>
        </w:rPr>
        <w:t>Neubauer</w:t>
      </w:r>
      <w:proofErr w:type="spellEnd"/>
      <w:r w:rsidRPr="00255C0A">
        <w:rPr>
          <w:rFonts w:eastAsia="Times New Roman" w:cs="Times New Roman"/>
          <w:szCs w:val="22"/>
        </w:rPr>
        <w:t xml:space="preserve"> et al., 2019). The research population included students with academic decline from the Faculty of Social Sciences at </w:t>
      </w:r>
      <w:proofErr w:type="spellStart"/>
      <w:r w:rsidRPr="00255C0A">
        <w:rPr>
          <w:rFonts w:eastAsia="Times New Roman" w:cs="Times New Roman"/>
          <w:szCs w:val="22"/>
        </w:rPr>
        <w:t>Allameh</w:t>
      </w:r>
      <w:proofErr w:type="spellEnd"/>
      <w:r w:rsidRPr="00255C0A">
        <w:rPr>
          <w:rFonts w:eastAsia="Times New Roman" w:cs="Times New Roman"/>
          <w:szCs w:val="22"/>
        </w:rPr>
        <w:t xml:space="preserve"> </w:t>
      </w:r>
      <w:proofErr w:type="spellStart"/>
      <w:r w:rsidRPr="00255C0A">
        <w:rPr>
          <w:rFonts w:eastAsia="Times New Roman" w:cs="Times New Roman"/>
          <w:szCs w:val="22"/>
        </w:rPr>
        <w:t>Tabataba'i</w:t>
      </w:r>
      <w:proofErr w:type="spellEnd"/>
      <w:r w:rsidRPr="00255C0A">
        <w:rPr>
          <w:rFonts w:eastAsia="Times New Roman" w:cs="Times New Roman"/>
          <w:szCs w:val="22"/>
        </w:rPr>
        <w:t xml:space="preserve"> University in the academic year 2024-2025, as well as counselors and supervisors of university counseling centers. Sampling was conducted purposefully until theoretical saturation was reached. Participants included 13 students (7 women and 6 men) and 11 counseling center counselors (6 women and 5 men) from various universities. Data were collected through semi-structured interviews. The content validity of the interview guide was confirmed by three experts in the field of educational psychology and counseling. Interviews were conducted in person or by telephone and, after recording, were fully transcribed. Data were analyzed using </w:t>
      </w:r>
      <w:proofErr w:type="spellStart"/>
      <w:r w:rsidRPr="00255C0A">
        <w:rPr>
          <w:rFonts w:eastAsia="Times New Roman" w:cs="Times New Roman"/>
          <w:szCs w:val="22"/>
        </w:rPr>
        <w:t>Colaizzi's</w:t>
      </w:r>
      <w:proofErr w:type="spellEnd"/>
      <w:r w:rsidRPr="00255C0A">
        <w:rPr>
          <w:rFonts w:eastAsia="Times New Roman" w:cs="Times New Roman"/>
          <w:szCs w:val="22"/>
        </w:rPr>
        <w:t xml:space="preserve"> (1978) thematic analysis method. To ensure the credibility and reliability of the research, Lincoln and </w:t>
      </w:r>
      <w:proofErr w:type="spellStart"/>
      <w:r w:rsidRPr="00255C0A">
        <w:rPr>
          <w:rFonts w:eastAsia="Times New Roman" w:cs="Times New Roman"/>
          <w:szCs w:val="22"/>
        </w:rPr>
        <w:t>Guba's</w:t>
      </w:r>
      <w:proofErr w:type="spellEnd"/>
      <w:r w:rsidRPr="00255C0A">
        <w:rPr>
          <w:rFonts w:eastAsia="Times New Roman" w:cs="Times New Roman"/>
          <w:szCs w:val="22"/>
        </w:rPr>
        <w:t xml:space="preserve"> (1985) criteria including credibility, transferability, dependability, and </w:t>
      </w:r>
      <w:proofErr w:type="spellStart"/>
      <w:r w:rsidRPr="00255C0A">
        <w:rPr>
          <w:rFonts w:eastAsia="Times New Roman" w:cs="Times New Roman"/>
          <w:szCs w:val="22"/>
        </w:rPr>
        <w:t>confirmability</w:t>
      </w:r>
      <w:proofErr w:type="spellEnd"/>
      <w:r w:rsidRPr="00255C0A">
        <w:rPr>
          <w:rFonts w:eastAsia="Times New Roman" w:cs="Times New Roman"/>
          <w:szCs w:val="22"/>
        </w:rPr>
        <w:t xml:space="preserve"> were used. Additionally, all ethical considerations including informed consent, confidentiality of information, and the right to withdraw from the research were observed</w:t>
      </w:r>
      <w:r w:rsidRPr="00255C0A">
        <w:rPr>
          <w:rFonts w:eastAsia="Times New Roman" w:cs="Times New Roman"/>
          <w:szCs w:val="22"/>
          <w:rtl/>
        </w:rPr>
        <w:t>.</w:t>
      </w:r>
    </w:p>
    <w:p w14:paraId="0CF87CAD" w14:textId="77777777" w:rsidR="00D7158B" w:rsidRPr="006C1AAE" w:rsidRDefault="00D7158B" w:rsidP="00255F75">
      <w:pPr>
        <w:tabs>
          <w:tab w:val="left" w:pos="3975"/>
          <w:tab w:val="center" w:pos="4680"/>
        </w:tabs>
        <w:bidi w:val="0"/>
        <w:spacing w:before="240" w:after="120" w:line="240" w:lineRule="auto"/>
        <w:jc w:val="both"/>
        <w:outlineLvl w:val="2"/>
        <w:rPr>
          <w:rFonts w:cs="B Zar"/>
          <w:b/>
          <w:bCs/>
          <w:color w:val="006666"/>
          <w:szCs w:val="22"/>
        </w:rPr>
      </w:pPr>
      <w:r w:rsidRPr="006C1AAE">
        <w:rPr>
          <w:rFonts w:cs="B Zar"/>
          <w:b/>
          <w:bCs/>
          <w:color w:val="006666"/>
          <w:szCs w:val="22"/>
        </w:rPr>
        <w:t>Findings</w:t>
      </w:r>
    </w:p>
    <w:p w14:paraId="532877D7" w14:textId="22AE073B" w:rsidR="00975E2B" w:rsidRPr="00975E2B" w:rsidRDefault="00975E2B" w:rsidP="00337C67">
      <w:pPr>
        <w:tabs>
          <w:tab w:val="left" w:pos="3975"/>
          <w:tab w:val="center" w:pos="4680"/>
        </w:tabs>
        <w:bidi w:val="0"/>
        <w:spacing w:after="120" w:line="240" w:lineRule="auto"/>
        <w:jc w:val="both"/>
        <w:outlineLvl w:val="2"/>
        <w:rPr>
          <w:rStyle w:val="rynqvb"/>
          <w:lang w:val="en"/>
        </w:rPr>
      </w:pPr>
      <w:r w:rsidRPr="00975E2B">
        <w:rPr>
          <w:rStyle w:val="rynqvb"/>
          <w:lang w:val="en"/>
        </w:rPr>
        <w:t xml:space="preserve">The research findings revealed that from the perspective of counseling center professionals, these centers play a pivotal role in preventing students' academic decline, but the effectiveness of this role is largely dependent on the cooperation of the university, academic departments, and faculty members. Analysis of the interviews revealed several main themes. First, challenges facing counseling centers, which included issues such as shortage and instability of human resources, </w:t>
      </w:r>
      <w:r w:rsidRPr="00975E2B">
        <w:rPr>
          <w:rStyle w:val="rynqvb"/>
          <w:lang w:val="en"/>
        </w:rPr>
        <w:lastRenderedPageBreak/>
        <w:t>difficulty in recruiting students, discrepancy in some faculty members' attitudes toward student issues, failure to receive timely information and statistics from university departments, and lack of basic facilities. Second, requirements for implementing academic decline prevention programs, which were raised in three areas: financial, spatial, and human resources, as well as operational needs. Third, components necessary for the effective functioning of the central office, which include supervisory and supportive roles in guiding and strengthening counseling center activities</w:t>
      </w:r>
      <w:r w:rsidRPr="00975E2B">
        <w:rPr>
          <w:rStyle w:val="rynqvb"/>
          <w:rtl/>
          <w:lang w:val="en"/>
        </w:rPr>
        <w:t>.</w:t>
      </w:r>
    </w:p>
    <w:p w14:paraId="20AADB16" w14:textId="095833BC" w:rsidR="00975E2B" w:rsidRPr="00975E2B" w:rsidRDefault="00975E2B" w:rsidP="00337C67">
      <w:pPr>
        <w:tabs>
          <w:tab w:val="left" w:pos="3975"/>
          <w:tab w:val="center" w:pos="4680"/>
        </w:tabs>
        <w:bidi w:val="0"/>
        <w:spacing w:after="120" w:line="240" w:lineRule="auto"/>
        <w:jc w:val="both"/>
        <w:outlineLvl w:val="2"/>
        <w:rPr>
          <w:rStyle w:val="rynqvb"/>
          <w:lang w:val="en"/>
        </w:rPr>
      </w:pPr>
      <w:r w:rsidRPr="00975E2B">
        <w:rPr>
          <w:rStyle w:val="rynqvb"/>
          <w:lang w:val="en"/>
        </w:rPr>
        <w:t>In addition, professionals referred to a set of specialized activities of counseling centers for managing and preventing academic decline, including providing incentives, attending to students' diverse needs, securing university cooperation, and strengthening the center's professional capacities. In this context, the supportive role of counseling centers was also emphasized, which includes covering diverse programs, accompanying students to create renewed growth opportunities, providing therapeutic services and promoting mental health especially for freshmen, as well as training specialized and committed human resources. The follow-up role of the counseling center was also highlighted through periodic monitoring of students' status and referral of at-risk students by academic departments. Finally, the educational role of counseling centers was also addressed in the form of holding workshops on teaching methods and effective communication for faculty members and strengthening students' life skills</w:t>
      </w:r>
      <w:r w:rsidRPr="00975E2B">
        <w:rPr>
          <w:rStyle w:val="rynqvb"/>
          <w:rtl/>
          <w:lang w:val="en"/>
        </w:rPr>
        <w:t>.</w:t>
      </w:r>
    </w:p>
    <w:p w14:paraId="00524F9D" w14:textId="17C569D9" w:rsidR="00975E2B" w:rsidRPr="00975E2B" w:rsidRDefault="00975E2B" w:rsidP="00337C67">
      <w:pPr>
        <w:tabs>
          <w:tab w:val="left" w:pos="3975"/>
          <w:tab w:val="center" w:pos="4680"/>
        </w:tabs>
        <w:bidi w:val="0"/>
        <w:spacing w:after="120" w:line="240" w:lineRule="auto"/>
        <w:jc w:val="both"/>
        <w:outlineLvl w:val="2"/>
        <w:rPr>
          <w:rStyle w:val="rynqvb"/>
          <w:lang w:val="en"/>
        </w:rPr>
      </w:pPr>
      <w:r w:rsidRPr="00975E2B">
        <w:rPr>
          <w:rStyle w:val="rynqvb"/>
          <w:lang w:val="en"/>
        </w:rPr>
        <w:t>On the other hand, findings from interviews with students showed that their evaluation of the counseling center's role was largely dependent on their individual experiences. Some students evaluated these centers' services as effective and supportive, while others had limited or ineffective experiences with these services. Based on data analysis, factors affecting the effectiveness of counseling center services included providing individual counseling along with initial screening, holding educational and psychological workshops for freshmen, easy access to the counseling center, creating a culture for expressing psychological problems, familiarizing students with the new academic environment and level, and establishing counseling centers in the university, faculties, and dormitories</w:t>
      </w:r>
      <w:r w:rsidRPr="00975E2B">
        <w:rPr>
          <w:rStyle w:val="rynqvb"/>
          <w:rtl/>
          <w:lang w:val="en"/>
        </w:rPr>
        <w:t>.</w:t>
      </w:r>
    </w:p>
    <w:p w14:paraId="324198A5" w14:textId="77777777" w:rsidR="00975E2B" w:rsidRDefault="00975E2B" w:rsidP="00337C67">
      <w:pPr>
        <w:tabs>
          <w:tab w:val="left" w:pos="3975"/>
          <w:tab w:val="center" w:pos="4680"/>
        </w:tabs>
        <w:bidi w:val="0"/>
        <w:spacing w:after="120" w:line="240" w:lineRule="auto"/>
        <w:jc w:val="both"/>
        <w:outlineLvl w:val="2"/>
        <w:rPr>
          <w:rFonts w:cs="B Zar"/>
          <w:b/>
          <w:bCs/>
          <w:color w:val="006666"/>
          <w:szCs w:val="22"/>
        </w:rPr>
      </w:pPr>
      <w:r w:rsidRPr="00975E2B">
        <w:rPr>
          <w:rStyle w:val="rynqvb"/>
          <w:lang w:val="en"/>
        </w:rPr>
        <w:t xml:space="preserve">Conversely, factors were also raised as barriers to the effectiveness of counseling center services. These factors included non-compliance with some counseling session requirements, distrust of some students toward the counseling center due to its affiliation with the university, insufficient awareness of the center's capabilities and services, occurrence of some academic problems arising from university structures, and reluctance of some students to receive counseling </w:t>
      </w:r>
      <w:r w:rsidRPr="00975E2B">
        <w:rPr>
          <w:rStyle w:val="rynqvb"/>
          <w:lang w:val="en"/>
        </w:rPr>
        <w:lastRenderedPageBreak/>
        <w:t>services. Overall, the findings indicate that the effectiveness of counseling centers in preventing academic decline requires strengthening infrastructure, increasing interaction with faculty members and academic departments, and enhancing students' awareness and trust in these centers' services.</w:t>
      </w:r>
    </w:p>
    <w:p w14:paraId="082C09CB" w14:textId="63EDBB91" w:rsidR="00D7158B" w:rsidRPr="006C1AAE" w:rsidRDefault="00D7158B" w:rsidP="00975E2B">
      <w:pPr>
        <w:tabs>
          <w:tab w:val="left" w:pos="3975"/>
          <w:tab w:val="center" w:pos="4680"/>
        </w:tabs>
        <w:bidi w:val="0"/>
        <w:spacing w:before="240" w:after="120" w:line="240" w:lineRule="auto"/>
        <w:jc w:val="both"/>
        <w:outlineLvl w:val="2"/>
        <w:rPr>
          <w:rFonts w:cs="B Zar"/>
          <w:b/>
          <w:bCs/>
          <w:color w:val="006666"/>
          <w:szCs w:val="22"/>
        </w:rPr>
      </w:pPr>
      <w:r w:rsidRPr="006C1AAE">
        <w:rPr>
          <w:rFonts w:cs="B Zar"/>
          <w:b/>
          <w:bCs/>
          <w:color w:val="006666"/>
          <w:szCs w:val="22"/>
        </w:rPr>
        <w:t>Conclusion</w:t>
      </w:r>
    </w:p>
    <w:p w14:paraId="3BC76C3C"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t>The findings of this research showed that university counseling centers can play an important role in preventing academic decline, but the realization of this role requires the existence of appropriate infrastructure, cooperation between different university departments, and gaining students’ trust. Based on the results of the interviews, challenges such as shortage of human resources, limited facilities, failure to receive timely information from university departments, and differences in some faculty members’ attitudes toward student issues are among the most important barriers to the effective functioning of counseling centers. At the same time, providing supportive, educational, and therapeutic services, implementing screening programs and life skills workshops, as well as effective interaction with faculty members and academic departments can help improve the effectiveness of these centers in preventing academic decline.</w:t>
      </w:r>
    </w:p>
    <w:p w14:paraId="6C9008FE"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t>The research findings also showed that students’ experiences and evaluations of counseling center services vary, and factors such as easy access to services, provision of individual counseling, creating a culture for expressing psychological problems, and familiarizing students with the university environment can lead to increased effectiveness of counseling services. Conversely, factors such as distrust of some students toward counseling centers, lack of awareness of the services provided, and non-compliance with some professional principles in counseling sessions can reduce the effectiveness of these services. Overall, the results of this research indicate that preventing academic decline requires a multidimensional approach in which educational, psychological, and organizational factors are simultaneously considered, and counseling centers, in interaction with other university departments, provide comprehensive and preventive services.</w:t>
      </w:r>
    </w:p>
    <w:p w14:paraId="6CB5F840"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t xml:space="preserve">Among the limitations of this research are conducting interviews online and focusing the study on students from one faculty at </w:t>
      </w:r>
      <w:proofErr w:type="spellStart"/>
      <w:r w:rsidRPr="00975E2B">
        <w:rPr>
          <w:lang w:val="en"/>
        </w:rPr>
        <w:t>Allameh</w:t>
      </w:r>
      <w:proofErr w:type="spellEnd"/>
      <w:r w:rsidRPr="00975E2B">
        <w:rPr>
          <w:lang w:val="en"/>
        </w:rPr>
        <w:t xml:space="preserve"> </w:t>
      </w:r>
      <w:proofErr w:type="spellStart"/>
      <w:r w:rsidRPr="00975E2B">
        <w:rPr>
          <w:lang w:val="en"/>
        </w:rPr>
        <w:t>Tabataba’i</w:t>
      </w:r>
      <w:proofErr w:type="spellEnd"/>
      <w:r w:rsidRPr="00975E2B">
        <w:rPr>
          <w:lang w:val="en"/>
        </w:rPr>
        <w:t xml:space="preserve"> University; therefore, generalization of the results to other universities should be done with caution.</w:t>
      </w:r>
    </w:p>
    <w:p w14:paraId="1C019262"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t>Based on the research findings, the following recommendations are proposed:</w:t>
      </w:r>
    </w:p>
    <w:p w14:paraId="03597912"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lastRenderedPageBreak/>
        <w:t>• Conducting similar studies in different universities and academic disciplines to examine the role of cultural and organizational contexts in the occurrence of academic decline.</w:t>
      </w:r>
    </w:p>
    <w:p w14:paraId="1A86553F" w14:textId="77777777" w:rsidR="00975E2B" w:rsidRPr="00975E2B" w:rsidRDefault="00975E2B" w:rsidP="00975E2B">
      <w:pPr>
        <w:tabs>
          <w:tab w:val="left" w:pos="3975"/>
          <w:tab w:val="center" w:pos="4680"/>
        </w:tabs>
        <w:bidi w:val="0"/>
        <w:spacing w:before="240" w:after="120" w:line="240" w:lineRule="auto"/>
        <w:jc w:val="both"/>
        <w:outlineLvl w:val="2"/>
        <w:rPr>
          <w:lang w:val="en"/>
        </w:rPr>
      </w:pPr>
      <w:r w:rsidRPr="00975E2B">
        <w:rPr>
          <w:lang w:val="en"/>
        </w:rPr>
        <w:t>• Examining the experiences of students who have been able to overcome academic decline, in order to identify supportive factors and effective strategies for improving academic performance.</w:t>
      </w:r>
    </w:p>
    <w:p w14:paraId="6C14E35D" w14:textId="77777777" w:rsidR="00D7158B" w:rsidRDefault="00D7158B" w:rsidP="00255F75">
      <w:pPr>
        <w:tabs>
          <w:tab w:val="left" w:pos="3975"/>
          <w:tab w:val="center" w:pos="4680"/>
        </w:tabs>
        <w:bidi w:val="0"/>
        <w:spacing w:before="240" w:after="120" w:line="240" w:lineRule="auto"/>
        <w:jc w:val="both"/>
        <w:outlineLvl w:val="2"/>
        <w:rPr>
          <w:rFonts w:cs="B Zar"/>
          <w:b/>
          <w:bCs/>
          <w:color w:val="006666"/>
          <w:szCs w:val="22"/>
        </w:rPr>
      </w:pPr>
      <w:r w:rsidRPr="006C1AAE">
        <w:rPr>
          <w:rFonts w:cs="B Zar"/>
          <w:b/>
          <w:bCs/>
          <w:color w:val="006666"/>
          <w:szCs w:val="22"/>
        </w:rPr>
        <w:t>References</w:t>
      </w:r>
    </w:p>
    <w:p w14:paraId="5396E6E9" w14:textId="77777777" w:rsidR="005D33D4" w:rsidRPr="005D33D4" w:rsidRDefault="005D33D4" w:rsidP="00CF3F73">
      <w:pPr>
        <w:bidi w:val="0"/>
        <w:spacing w:before="240" w:after="120" w:line="240" w:lineRule="auto"/>
        <w:jc w:val="both"/>
      </w:pPr>
      <w:r w:rsidRPr="005D33D4">
        <w:rPr>
          <w:lang w:val="en"/>
        </w:rPr>
        <w:t xml:space="preserve">Barnett, M. D., Martin, K. J., &amp; Garza, C. J. (2023). Academic burnout, self-efficacy, and academic performance among college students during the post-pandemic transition. </w:t>
      </w:r>
      <w:r w:rsidRPr="005D33D4">
        <w:rPr>
          <w:i/>
          <w:iCs/>
          <w:lang w:val="en"/>
        </w:rPr>
        <w:t>Journal of American College Health</w:t>
      </w:r>
      <w:r w:rsidRPr="005D33D4">
        <w:rPr>
          <w:lang w:val="en"/>
        </w:rPr>
        <w:t xml:space="preserve">, </w:t>
      </w:r>
      <w:r w:rsidRPr="005D33D4">
        <w:rPr>
          <w:i/>
          <w:iCs/>
          <w:lang w:val="en"/>
        </w:rPr>
        <w:t>71</w:t>
      </w:r>
      <w:r w:rsidRPr="005D33D4">
        <w:rPr>
          <w:lang w:val="en"/>
        </w:rPr>
        <w:t xml:space="preserve">(8), 2456-2463. </w:t>
      </w:r>
      <w:hyperlink r:id="rId8" w:tgtFrame="_blank" w:history="1">
        <w:r w:rsidRPr="005D33D4">
          <w:rPr>
            <w:rStyle w:val="Hyperlink"/>
            <w:lang w:val="en"/>
          </w:rPr>
          <w:t>https://doi.org/10.1080/07448481.2021.1987919</w:t>
        </w:r>
      </w:hyperlink>
    </w:p>
    <w:p w14:paraId="44D994BA" w14:textId="3E8BBDEB" w:rsidR="00D7158B" w:rsidRPr="00CF3F73" w:rsidRDefault="005D33D4" w:rsidP="00CF3F73">
      <w:pPr>
        <w:bidi w:val="0"/>
        <w:spacing w:line="240" w:lineRule="auto"/>
        <w:jc w:val="both"/>
        <w:rPr>
          <w:rFonts w:eastAsia="Times New Roman" w:cs="B Zar"/>
          <w:color w:val="000000"/>
          <w:szCs w:val="22"/>
          <w:u w:val="single"/>
          <w:lang w:val="en" w:bidi="ar-SA"/>
        </w:rPr>
      </w:pPr>
      <w:r w:rsidRPr="005D33D4">
        <w:rPr>
          <w:rFonts w:eastAsia="Times New Roman" w:cs="B Zar"/>
          <w:color w:val="000000"/>
          <w:szCs w:val="22"/>
          <w:lang w:val="en" w:bidi="ar-SA"/>
        </w:rPr>
        <w:t xml:space="preserve">Zhang, Y., &amp; Li, H. (2024). The relationship between mental health, academic motivation, and academic achievement in university students: A longitudinal study. </w:t>
      </w:r>
      <w:r w:rsidRPr="005D33D4">
        <w:rPr>
          <w:rFonts w:eastAsia="Times New Roman" w:cs="B Zar"/>
          <w:i/>
          <w:iCs/>
          <w:color w:val="000000"/>
          <w:szCs w:val="22"/>
          <w:lang w:val="en" w:bidi="ar-SA"/>
        </w:rPr>
        <w:t>Higher Education Research &amp; Development</w:t>
      </w:r>
      <w:r w:rsidRPr="005D33D4">
        <w:rPr>
          <w:rFonts w:eastAsia="Times New Roman" w:cs="B Zar"/>
          <w:color w:val="000000"/>
          <w:szCs w:val="22"/>
          <w:lang w:val="en" w:bidi="ar-SA"/>
        </w:rPr>
        <w:t xml:space="preserve">, </w:t>
      </w:r>
      <w:r w:rsidRPr="005D33D4">
        <w:rPr>
          <w:rFonts w:eastAsia="Times New Roman" w:cs="B Zar"/>
          <w:i/>
          <w:iCs/>
          <w:color w:val="000000"/>
          <w:szCs w:val="22"/>
          <w:lang w:val="en" w:bidi="ar-SA"/>
        </w:rPr>
        <w:t>43</w:t>
      </w:r>
      <w:r w:rsidRPr="005D33D4">
        <w:rPr>
          <w:rFonts w:eastAsia="Times New Roman" w:cs="B Zar"/>
          <w:color w:val="000000"/>
          <w:szCs w:val="22"/>
          <w:lang w:val="en" w:bidi="ar-SA"/>
        </w:rPr>
        <w:t xml:space="preserve">(1), 145-160. </w:t>
      </w:r>
      <w:hyperlink r:id="rId9" w:tgtFrame="_blank" w:history="1">
        <w:r w:rsidRPr="005D33D4">
          <w:rPr>
            <w:rStyle w:val="Hyperlink"/>
            <w:rFonts w:eastAsia="Times New Roman" w:cs="B Zar"/>
            <w:szCs w:val="22"/>
            <w:lang w:val="en" w:bidi="ar-SA"/>
          </w:rPr>
          <w:t>https://doi.org/10.1080/07294360.2023.2189456</w:t>
        </w:r>
      </w:hyperlink>
    </w:p>
    <w:p w14:paraId="1437BB21" w14:textId="77777777" w:rsidR="005D33D4" w:rsidRPr="005D33D4" w:rsidRDefault="005D33D4" w:rsidP="00CF3F73">
      <w:pPr>
        <w:bidi w:val="0"/>
        <w:jc w:val="both"/>
        <w:rPr>
          <w:lang w:val="en"/>
        </w:rPr>
      </w:pPr>
      <w:proofErr w:type="spellStart"/>
      <w:r w:rsidRPr="005D33D4">
        <w:rPr>
          <w:lang w:val="en"/>
        </w:rPr>
        <w:t>Afzali</w:t>
      </w:r>
      <w:proofErr w:type="spellEnd"/>
      <w:r w:rsidRPr="005D33D4">
        <w:rPr>
          <w:lang w:val="en"/>
        </w:rPr>
        <w:t xml:space="preserve"> </w:t>
      </w:r>
      <w:proofErr w:type="spellStart"/>
      <w:r w:rsidRPr="005D33D4">
        <w:rPr>
          <w:lang w:val="en"/>
        </w:rPr>
        <w:t>Goruh</w:t>
      </w:r>
      <w:proofErr w:type="spellEnd"/>
      <w:r w:rsidRPr="005D33D4">
        <w:rPr>
          <w:lang w:val="en"/>
        </w:rPr>
        <w:t xml:space="preserve">, M., </w:t>
      </w:r>
      <w:proofErr w:type="spellStart"/>
      <w:r w:rsidRPr="005D33D4">
        <w:rPr>
          <w:lang w:val="en"/>
        </w:rPr>
        <w:t>Afzali</w:t>
      </w:r>
      <w:proofErr w:type="spellEnd"/>
      <w:r w:rsidRPr="005D33D4">
        <w:rPr>
          <w:lang w:val="en"/>
        </w:rPr>
        <w:t xml:space="preserve"> </w:t>
      </w:r>
      <w:proofErr w:type="spellStart"/>
      <w:r w:rsidRPr="005D33D4">
        <w:rPr>
          <w:lang w:val="en"/>
        </w:rPr>
        <w:t>Goruh</w:t>
      </w:r>
      <w:proofErr w:type="spellEnd"/>
      <w:r w:rsidRPr="005D33D4">
        <w:rPr>
          <w:lang w:val="en"/>
        </w:rPr>
        <w:t xml:space="preserve">, M., </w:t>
      </w:r>
      <w:proofErr w:type="spellStart"/>
      <w:r w:rsidRPr="005D33D4">
        <w:rPr>
          <w:lang w:val="en"/>
        </w:rPr>
        <w:t>Khanamani</w:t>
      </w:r>
      <w:proofErr w:type="spellEnd"/>
      <w:r w:rsidRPr="005D33D4">
        <w:rPr>
          <w:lang w:val="en"/>
        </w:rPr>
        <w:t xml:space="preserve">, F., </w:t>
      </w:r>
      <w:proofErr w:type="spellStart"/>
      <w:r w:rsidRPr="005D33D4">
        <w:rPr>
          <w:lang w:val="en"/>
        </w:rPr>
        <w:t>Afzali</w:t>
      </w:r>
      <w:proofErr w:type="spellEnd"/>
      <w:r w:rsidRPr="005D33D4">
        <w:rPr>
          <w:lang w:val="en"/>
        </w:rPr>
        <w:t xml:space="preserve"> </w:t>
      </w:r>
      <w:proofErr w:type="spellStart"/>
      <w:r w:rsidRPr="005D33D4">
        <w:rPr>
          <w:lang w:val="en"/>
        </w:rPr>
        <w:t>Goruh</w:t>
      </w:r>
      <w:proofErr w:type="spellEnd"/>
      <w:r w:rsidRPr="005D33D4">
        <w:rPr>
          <w:lang w:val="en"/>
        </w:rPr>
        <w:t xml:space="preserve">, Z. (2024). Investigating the reasons and factors affecting academic decline and academic achievement of elementary students. Fourth International Conference on Educational Sciences, Counseling, Psychology and Social Sciences. </w:t>
      </w:r>
      <w:hyperlink r:id="rId10" w:tgtFrame="_blank" w:history="1">
        <w:r w:rsidRPr="005D33D4">
          <w:rPr>
            <w:rStyle w:val="Hyperlink"/>
            <w:lang w:val="en"/>
          </w:rPr>
          <w:t>https://civilica.com/doc/2148337</w:t>
        </w:r>
      </w:hyperlink>
    </w:p>
    <w:p w14:paraId="39129597" w14:textId="77777777" w:rsidR="005D33D4" w:rsidRPr="005D33D4" w:rsidRDefault="005D33D4" w:rsidP="00CF3F73">
      <w:pPr>
        <w:bidi w:val="0"/>
        <w:jc w:val="both"/>
        <w:rPr>
          <w:lang w:val="en"/>
        </w:rPr>
      </w:pPr>
      <w:proofErr w:type="spellStart"/>
      <w:r w:rsidRPr="005D33D4">
        <w:rPr>
          <w:lang w:val="en"/>
        </w:rPr>
        <w:t>Taklubeighshi</w:t>
      </w:r>
      <w:proofErr w:type="spellEnd"/>
      <w:r w:rsidRPr="005D33D4">
        <w:rPr>
          <w:lang w:val="en"/>
        </w:rPr>
        <w:t xml:space="preserve">, F., </w:t>
      </w:r>
      <w:proofErr w:type="spellStart"/>
      <w:r w:rsidRPr="005D33D4">
        <w:rPr>
          <w:lang w:val="en"/>
        </w:rPr>
        <w:t>Gholami</w:t>
      </w:r>
      <w:proofErr w:type="spellEnd"/>
      <w:r w:rsidRPr="005D33D4">
        <w:rPr>
          <w:lang w:val="en"/>
        </w:rPr>
        <w:t xml:space="preserve">, B., Ansari, S., Safari, S. (2024). Investigating the reasons and influential factors in academic decline and academic frustration among students. First International Conference on Education with an Approach to Smart Schools, Creative Teachers and Thoughtful Students in the Horizon of 2025. </w:t>
      </w:r>
      <w:hyperlink r:id="rId11" w:tgtFrame="_blank" w:history="1">
        <w:r w:rsidRPr="005D33D4">
          <w:rPr>
            <w:rStyle w:val="Hyperlink"/>
            <w:lang w:val="en"/>
          </w:rPr>
          <w:t>https://civilica.com/doc/2101046</w:t>
        </w:r>
      </w:hyperlink>
    </w:p>
    <w:p w14:paraId="537705AD" w14:textId="77777777" w:rsidR="005D33D4" w:rsidRPr="005D33D4" w:rsidRDefault="005D33D4" w:rsidP="00CF3F73">
      <w:pPr>
        <w:bidi w:val="0"/>
        <w:jc w:val="both"/>
        <w:rPr>
          <w:lang w:val="en"/>
        </w:rPr>
      </w:pPr>
      <w:r w:rsidRPr="005D33D4">
        <w:rPr>
          <w:lang w:val="en"/>
        </w:rPr>
        <w:t xml:space="preserve">Williams, P., &amp; Brown, L. (2023). Effectiveness of university counseling interventions on academic performance and student well-being: A systematic review. </w:t>
      </w:r>
      <w:r w:rsidRPr="005D33D4">
        <w:rPr>
          <w:i/>
          <w:iCs/>
          <w:lang w:val="en"/>
        </w:rPr>
        <w:t>Journal of Counseling Psychology</w:t>
      </w:r>
      <w:r w:rsidRPr="005D33D4">
        <w:rPr>
          <w:lang w:val="en"/>
        </w:rPr>
        <w:t xml:space="preserve">, </w:t>
      </w:r>
      <w:r w:rsidRPr="005D33D4">
        <w:rPr>
          <w:i/>
          <w:iCs/>
          <w:lang w:val="en"/>
        </w:rPr>
        <w:t>70</w:t>
      </w:r>
      <w:r w:rsidRPr="005D33D4">
        <w:rPr>
          <w:lang w:val="en"/>
        </w:rPr>
        <w:t xml:space="preserve">(4), 445-462. </w:t>
      </w:r>
      <w:hyperlink r:id="rId12" w:tgtFrame="_blank" w:history="1">
        <w:r w:rsidRPr="005D33D4">
          <w:rPr>
            <w:rStyle w:val="Hyperlink"/>
            <w:lang w:val="en"/>
          </w:rPr>
          <w:t>https://doi.org/10.1037/cou0000678</w:t>
        </w:r>
      </w:hyperlink>
    </w:p>
    <w:p w14:paraId="2D167142" w14:textId="77777777" w:rsidR="005D33D4" w:rsidRPr="005D33D4" w:rsidRDefault="005D33D4" w:rsidP="00CF3F73">
      <w:pPr>
        <w:bidi w:val="0"/>
        <w:jc w:val="both"/>
      </w:pPr>
      <w:bookmarkStart w:id="2" w:name="_Hlk181153944"/>
      <w:r w:rsidRPr="005D33D4">
        <w:t xml:space="preserve">Cohen, K. A., Graham, A. K., &amp; </w:t>
      </w:r>
      <w:proofErr w:type="spellStart"/>
      <w:r w:rsidRPr="005D33D4">
        <w:t>Lattie</w:t>
      </w:r>
      <w:proofErr w:type="spellEnd"/>
      <w:r w:rsidRPr="005D33D4">
        <w:t xml:space="preserve">, E. G. (2022). Aligning students and counseling centers on student mental health needs and treatment resources. </w:t>
      </w:r>
      <w:r w:rsidRPr="005D33D4">
        <w:rPr>
          <w:i/>
          <w:iCs/>
        </w:rPr>
        <w:t>Journal of American College Health, 70</w:t>
      </w:r>
      <w:r w:rsidRPr="005D33D4">
        <w:t>(3), 724–732. https://doi.org/10.1080/07448481.2020.1762611</w:t>
      </w:r>
    </w:p>
    <w:bookmarkEnd w:id="2"/>
    <w:p w14:paraId="6A2B7E4E" w14:textId="77777777" w:rsidR="008261E1" w:rsidRDefault="008261E1" w:rsidP="00CF3F73">
      <w:pPr>
        <w:bidi w:val="0"/>
        <w:jc w:val="both"/>
      </w:pPr>
    </w:p>
    <w:sectPr w:rsidR="008261E1" w:rsidSect="00D67083">
      <w:headerReference w:type="even" r:id="rId13"/>
      <w:headerReference w:type="default" r:id="rId14"/>
      <w:headerReference w:type="first" r:id="rId15"/>
      <w:footnotePr>
        <w:numRestart w:val="eachPage"/>
      </w:footnotePr>
      <w:pgSz w:w="9639" w:h="13608" w:code="1"/>
      <w:pgMar w:top="1701" w:right="1134" w:bottom="1418" w:left="1304" w:header="1140" w:footer="1281" w:gutter="0"/>
      <w:pgNumType w:start="1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AC4A0A" w14:textId="77777777" w:rsidR="00445312" w:rsidRDefault="00445312" w:rsidP="00D7158B">
      <w:pPr>
        <w:spacing w:line="240" w:lineRule="auto"/>
      </w:pPr>
      <w:r>
        <w:separator/>
      </w:r>
    </w:p>
  </w:endnote>
  <w:endnote w:type="continuationSeparator" w:id="0">
    <w:p w14:paraId="679F2EBA" w14:textId="77777777" w:rsidR="00445312" w:rsidRDefault="00445312" w:rsidP="00D715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Roya">
    <w:panose1 w:val="00000400000000000000"/>
    <w:charset w:val="B2"/>
    <w:family w:val="auto"/>
    <w:pitch w:val="variable"/>
    <w:sig w:usb0="00002001" w:usb1="80000000" w:usb2="00000008" w:usb3="00000000" w:csb0="00000040" w:csb1="00000000"/>
  </w:font>
  <w:font w:name="Mitra">
    <w:altName w:val="Courier New"/>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39FEB" w14:textId="77777777" w:rsidR="00445312" w:rsidRPr="006F5F01" w:rsidRDefault="00445312" w:rsidP="00460CA6">
      <w:pPr>
        <w:spacing w:line="240" w:lineRule="auto"/>
        <w:jc w:val="center"/>
        <w:rPr>
          <w:color w:val="006666"/>
        </w:rPr>
      </w:pPr>
      <w:r w:rsidRPr="006F5F01">
        <w:rPr>
          <w:color w:val="006666"/>
        </w:rPr>
        <w:separator/>
      </w:r>
    </w:p>
  </w:footnote>
  <w:footnote w:type="continuationSeparator" w:id="0">
    <w:p w14:paraId="414A58F2" w14:textId="77777777" w:rsidR="00445312" w:rsidRDefault="00445312" w:rsidP="00D7158B">
      <w:pPr>
        <w:spacing w:line="240" w:lineRule="auto"/>
      </w:pPr>
      <w:r>
        <w:continuationSeparator/>
      </w:r>
    </w:p>
  </w:footnote>
  <w:footnote w:id="1">
    <w:p w14:paraId="4AA2374F" w14:textId="77777777" w:rsidR="00D7158B" w:rsidRPr="007E232F" w:rsidRDefault="00D7158B" w:rsidP="00BC30D4">
      <w:pPr>
        <w:bidi w:val="0"/>
        <w:spacing w:line="240" w:lineRule="auto"/>
        <w:ind w:right="94"/>
        <w:jc w:val="center"/>
        <w:rPr>
          <w:color w:val="006666"/>
          <w:sz w:val="16"/>
          <w:szCs w:val="16"/>
        </w:rPr>
      </w:pPr>
      <w:r w:rsidRPr="000B7E3A">
        <w:rPr>
          <w:rStyle w:val="FootnoteReference"/>
          <w:color w:val="FFFFFF" w:themeColor="background1"/>
        </w:rPr>
        <w:footnoteRef/>
      </w:r>
      <w:r>
        <w:rPr>
          <w:rtl/>
        </w:rPr>
        <w:t xml:space="preserve"> </w:t>
      </w:r>
      <w:r>
        <w:rPr>
          <w:color w:val="006666"/>
          <w:sz w:val="16"/>
          <w:szCs w:val="16"/>
        </w:rPr>
        <w:t xml:space="preserve">Received: </w:t>
      </w:r>
      <w:r w:rsidRPr="0079466A">
        <w:rPr>
          <w:color w:val="006666"/>
          <w:sz w:val="16"/>
          <w:szCs w:val="16"/>
        </w:rPr>
        <w:t>202</w:t>
      </w:r>
      <w:r>
        <w:rPr>
          <w:color w:val="006666"/>
          <w:sz w:val="16"/>
          <w:szCs w:val="16"/>
        </w:rPr>
        <w:t>5</w:t>
      </w:r>
      <w:r w:rsidRPr="0079466A">
        <w:rPr>
          <w:color w:val="006666"/>
          <w:sz w:val="16"/>
          <w:szCs w:val="16"/>
        </w:rPr>
        <w:t>/</w:t>
      </w:r>
      <w:r w:rsidR="00BC30D4">
        <w:rPr>
          <w:color w:val="006666"/>
          <w:sz w:val="16"/>
          <w:szCs w:val="16"/>
        </w:rPr>
        <w:t>??</w:t>
      </w:r>
      <w:r w:rsidRPr="0079466A">
        <w:rPr>
          <w:color w:val="006666"/>
          <w:sz w:val="16"/>
          <w:szCs w:val="16"/>
        </w:rPr>
        <w:t>/</w:t>
      </w:r>
      <w:r w:rsidR="00BC30D4">
        <w:rPr>
          <w:color w:val="006666"/>
          <w:sz w:val="16"/>
          <w:szCs w:val="16"/>
        </w:rPr>
        <w:t>??</w:t>
      </w:r>
      <w:r>
        <w:rPr>
          <w:color w:val="006666"/>
          <w:sz w:val="16"/>
          <w:szCs w:val="16"/>
        </w:rPr>
        <w:t xml:space="preserve">                    Accepted: </w:t>
      </w:r>
      <w:r w:rsidRPr="007E232F">
        <w:rPr>
          <w:color w:val="006666"/>
          <w:sz w:val="16"/>
          <w:szCs w:val="16"/>
        </w:rPr>
        <w:t>2025/</w:t>
      </w:r>
      <w:r w:rsidR="00BC30D4">
        <w:rPr>
          <w:color w:val="006666"/>
          <w:sz w:val="16"/>
          <w:szCs w:val="16"/>
        </w:rPr>
        <w:t>??</w:t>
      </w:r>
      <w:r w:rsidRPr="007E232F">
        <w:rPr>
          <w:color w:val="006666"/>
          <w:sz w:val="16"/>
          <w:szCs w:val="16"/>
        </w:rPr>
        <w:t>/</w:t>
      </w:r>
      <w:r w:rsidR="00BC30D4">
        <w:rPr>
          <w:color w:val="006666"/>
          <w:sz w:val="16"/>
          <w:szCs w:val="16"/>
        </w:rPr>
        <w:t>??</w:t>
      </w:r>
    </w:p>
    <w:p w14:paraId="4C309DE7" w14:textId="77777777" w:rsidR="00D7158B" w:rsidRPr="00D36EC1" w:rsidRDefault="00D7158B" w:rsidP="00D7158B">
      <w:pPr>
        <w:bidi w:val="0"/>
        <w:spacing w:line="240" w:lineRule="auto"/>
        <w:ind w:right="94"/>
        <w:jc w:val="center"/>
        <w:rPr>
          <w:color w:val="006666"/>
          <w:szCs w:val="22"/>
        </w:rPr>
      </w:pPr>
    </w:p>
    <w:p w14:paraId="00268D59" w14:textId="77777777" w:rsidR="00D7158B" w:rsidRPr="00616B93" w:rsidRDefault="00D7158B" w:rsidP="00BC30D4">
      <w:pPr>
        <w:bidi w:val="0"/>
        <w:spacing w:line="240" w:lineRule="auto"/>
        <w:ind w:left="142" w:right="113"/>
        <w:jc w:val="both"/>
        <w:rPr>
          <w:rFonts w:cs="Times New Roman"/>
          <w:color w:val="006666"/>
          <w:w w:val="90"/>
          <w:sz w:val="12"/>
          <w:szCs w:val="12"/>
        </w:rPr>
      </w:pPr>
      <w:r w:rsidRPr="00947483">
        <w:rPr>
          <w:rFonts w:cs="B Zar"/>
          <w:b/>
          <w:bCs/>
          <w:color w:val="006666"/>
          <w:sz w:val="14"/>
          <w:szCs w:val="14"/>
          <w:lang w:val="x-none" w:eastAsia="x-none" w:bidi="ar-SA"/>
        </w:rPr>
        <w:t xml:space="preserve">Citation: </w:t>
      </w:r>
      <w:r w:rsidR="00CA7E96" w:rsidRPr="00CA7E96">
        <w:rPr>
          <w:rFonts w:cs="B Zar"/>
          <w:sz w:val="14"/>
          <w:szCs w:val="14"/>
          <w:lang w:val="x-none" w:eastAsia="x-none" w:bidi="ar-SA"/>
        </w:rPr>
        <w:t>Name Family Name</w:t>
      </w:r>
      <w:r w:rsidRPr="002F138E">
        <w:rPr>
          <w:rFonts w:cs="B Zar"/>
          <w:sz w:val="14"/>
          <w:szCs w:val="14"/>
          <w:lang w:val="x-none" w:eastAsia="x-none" w:bidi="ar-SA"/>
        </w:rPr>
        <w:t>.</w:t>
      </w:r>
      <w:r w:rsidR="00CA7E96">
        <w:rPr>
          <w:rFonts w:cs="B Zar"/>
          <w:sz w:val="14"/>
          <w:szCs w:val="14"/>
          <w:lang w:eastAsia="x-none" w:bidi="ar-SA"/>
        </w:rPr>
        <w:t xml:space="preserve">, &amp; </w:t>
      </w:r>
      <w:r w:rsidR="00CA7E96" w:rsidRPr="00CA7E96">
        <w:rPr>
          <w:rFonts w:cs="B Zar"/>
          <w:sz w:val="14"/>
          <w:szCs w:val="14"/>
          <w:lang w:eastAsia="x-none" w:bidi="ar-SA"/>
        </w:rPr>
        <w:t>Name Family Name</w:t>
      </w:r>
      <w:r w:rsidR="00CA7E96">
        <w:rPr>
          <w:rFonts w:cs="B Zar"/>
          <w:sz w:val="14"/>
          <w:szCs w:val="14"/>
          <w:lang w:eastAsia="x-none" w:bidi="ar-SA"/>
        </w:rPr>
        <w:t>.</w:t>
      </w:r>
      <w:r w:rsidRPr="002F138E">
        <w:rPr>
          <w:rFonts w:cs="B Zar"/>
          <w:sz w:val="14"/>
          <w:szCs w:val="14"/>
          <w:lang w:val="x-none" w:eastAsia="x-none" w:bidi="ar-SA"/>
        </w:rPr>
        <w:t xml:space="preserve"> (</w:t>
      </w:r>
      <w:r w:rsidR="00CA7E96">
        <w:rPr>
          <w:rFonts w:cs="B Zar"/>
          <w:sz w:val="14"/>
          <w:szCs w:val="14"/>
          <w:lang w:eastAsia="x-none" w:bidi="ar-SA"/>
        </w:rPr>
        <w:t>year</w:t>
      </w:r>
      <w:r w:rsidRPr="002F138E">
        <w:rPr>
          <w:rFonts w:cs="B Zar"/>
          <w:sz w:val="14"/>
          <w:szCs w:val="14"/>
          <w:lang w:val="x-none" w:eastAsia="x-none" w:bidi="ar-SA"/>
        </w:rPr>
        <w:t xml:space="preserve">). </w:t>
      </w:r>
      <w:r w:rsidR="00CA7E96">
        <w:rPr>
          <w:rFonts w:cs="B Zar"/>
          <w:sz w:val="14"/>
          <w:szCs w:val="14"/>
          <w:lang w:eastAsia="x-none" w:bidi="ar-SA"/>
        </w:rPr>
        <w:t xml:space="preserve">Article </w:t>
      </w:r>
      <w:proofErr w:type="spellStart"/>
      <w:r w:rsidR="00CA7E96">
        <w:rPr>
          <w:rFonts w:cs="B Zar"/>
          <w:sz w:val="14"/>
          <w:szCs w:val="14"/>
          <w:lang w:eastAsia="x-none" w:bidi="ar-SA"/>
        </w:rPr>
        <w:t>Tirle</w:t>
      </w:r>
      <w:proofErr w:type="spellEnd"/>
      <w:r w:rsidRPr="002F138E">
        <w:rPr>
          <w:rFonts w:cs="B Zar"/>
          <w:sz w:val="14"/>
          <w:szCs w:val="14"/>
          <w:lang w:val="x-none" w:eastAsia="x-none" w:bidi="ar-SA"/>
        </w:rPr>
        <w:t xml:space="preserve">. </w:t>
      </w:r>
      <w:r w:rsidRPr="002F138E">
        <w:rPr>
          <w:rFonts w:cs="B Zar"/>
          <w:i/>
          <w:iCs/>
          <w:sz w:val="14"/>
          <w:szCs w:val="14"/>
          <w:lang w:val="x-none" w:eastAsia="x-none" w:bidi="ar-SA"/>
        </w:rPr>
        <w:t>Qualitative Research in Educational Sciences,</w:t>
      </w:r>
      <w:r w:rsidRPr="002F138E">
        <w:rPr>
          <w:rFonts w:cs="B Zar"/>
          <w:sz w:val="14"/>
          <w:szCs w:val="14"/>
          <w:lang w:val="x-none" w:eastAsia="x-none" w:bidi="ar-SA"/>
        </w:rPr>
        <w:t xml:space="preserve"> </w:t>
      </w:r>
      <w:proofErr w:type="spellStart"/>
      <w:r w:rsidR="00BC30D4" w:rsidRPr="00BC30D4">
        <w:rPr>
          <w:rFonts w:cs="B Zar"/>
          <w:i/>
          <w:iCs/>
          <w:sz w:val="14"/>
          <w:szCs w:val="14"/>
          <w:lang w:eastAsia="x-none" w:bidi="ar-SA"/>
        </w:rPr>
        <w:t>Vol</w:t>
      </w:r>
      <w:proofErr w:type="spellEnd"/>
      <w:r w:rsidRPr="002F138E">
        <w:rPr>
          <w:rFonts w:cs="B Zar"/>
          <w:sz w:val="14"/>
          <w:szCs w:val="14"/>
          <w:lang w:val="x-none" w:eastAsia="x-none" w:bidi="ar-SA"/>
        </w:rPr>
        <w:t>(</w:t>
      </w:r>
      <w:r w:rsidR="00BC30D4">
        <w:rPr>
          <w:rFonts w:cs="B Zar"/>
          <w:sz w:val="14"/>
          <w:szCs w:val="14"/>
          <w:lang w:eastAsia="x-none" w:bidi="ar-SA"/>
        </w:rPr>
        <w:t>Issue</w:t>
      </w:r>
      <w:r w:rsidRPr="002F138E">
        <w:rPr>
          <w:rFonts w:cs="B Zar"/>
          <w:sz w:val="14"/>
          <w:szCs w:val="14"/>
          <w:lang w:val="x-none" w:eastAsia="x-none" w:bidi="ar-SA"/>
        </w:rPr>
        <w:t xml:space="preserve">), </w:t>
      </w:r>
      <w:r w:rsidR="00CA7E96">
        <w:rPr>
          <w:rFonts w:cs="B Zar"/>
          <w:sz w:val="14"/>
          <w:szCs w:val="14"/>
          <w:lang w:eastAsia="x-none" w:bidi="ar-SA"/>
        </w:rPr>
        <w:t>pp-pp</w:t>
      </w:r>
      <w:r w:rsidRPr="002F138E">
        <w:rPr>
          <w:rFonts w:cs="B Zar"/>
          <w:sz w:val="14"/>
          <w:szCs w:val="14"/>
          <w:lang w:val="x-none" w:eastAsia="x-none" w:bidi="ar-SA"/>
        </w:rPr>
        <w:t>.</w:t>
      </w:r>
      <w:r w:rsidRPr="002F138E">
        <w:t xml:space="preserve"> </w:t>
      </w:r>
      <w:r w:rsidRPr="002F138E">
        <w:rPr>
          <w:rFonts w:cs="B Zar"/>
          <w:sz w:val="14"/>
          <w:szCs w:val="14"/>
          <w:lang w:val="x-none" w:eastAsia="x-none" w:bidi="ar-SA"/>
        </w:rPr>
        <w:t>https://doi.org/10.71839/QRES.2025.</w:t>
      </w:r>
    </w:p>
    <w:p w14:paraId="62094E6B" w14:textId="77777777" w:rsidR="00D7158B" w:rsidRDefault="00D7158B" w:rsidP="00D7158B">
      <w:pPr>
        <w:bidi w:val="0"/>
        <w:spacing w:line="240" w:lineRule="auto"/>
        <w:ind w:right="94"/>
        <w:jc w:val="center"/>
        <w:rPr>
          <w:color w:val="006666"/>
          <w:sz w:val="14"/>
          <w:szCs w:val="14"/>
        </w:rPr>
      </w:pPr>
    </w:p>
    <w:p w14:paraId="1A125CD4" w14:textId="77777777" w:rsidR="00D7158B" w:rsidRDefault="00D7158B" w:rsidP="00D7158B">
      <w:pPr>
        <w:bidi w:val="0"/>
        <w:spacing w:line="240" w:lineRule="auto"/>
        <w:ind w:right="94"/>
        <w:jc w:val="center"/>
        <w:rPr>
          <w:color w:val="006666"/>
          <w:sz w:val="14"/>
          <w:szCs w:val="14"/>
        </w:rPr>
      </w:pPr>
    </w:p>
    <w:p w14:paraId="4D7FFFD7" w14:textId="77777777" w:rsidR="00D7158B" w:rsidRPr="00E775BA" w:rsidRDefault="00D7158B" w:rsidP="00CA7E96">
      <w:pPr>
        <w:bidi w:val="0"/>
        <w:spacing w:line="240" w:lineRule="auto"/>
        <w:ind w:left="-113" w:right="-57"/>
        <w:jc w:val="both"/>
        <w:rPr>
          <w:rFonts w:cs="Times New Roman"/>
          <w:color w:val="006666"/>
          <w:w w:val="90"/>
          <w:sz w:val="14"/>
          <w:szCs w:val="14"/>
        </w:rPr>
      </w:pPr>
      <w:r>
        <w:rPr>
          <w:rFonts w:cs="Times New Roman"/>
          <w:color w:val="006666"/>
          <w:w w:val="90"/>
          <w:sz w:val="12"/>
          <w:szCs w:val="12"/>
        </w:rPr>
        <w:t xml:space="preserve">  </w:t>
      </w:r>
      <w:r w:rsidRPr="00E775BA">
        <w:rPr>
          <w:rFonts w:cs="B Titr"/>
          <w:color w:val="006666"/>
          <w:sz w:val="14"/>
          <w:szCs w:val="14"/>
          <w:vertAlign w:val="superscript"/>
        </w:rPr>
        <w:t>*</w:t>
      </w:r>
      <w:r w:rsidRPr="00E775BA">
        <w:rPr>
          <w:color w:val="006666"/>
          <w:sz w:val="14"/>
          <w:szCs w:val="14"/>
        </w:rPr>
        <w:t xml:space="preserve"> Corresponding author: </w:t>
      </w:r>
      <w:r w:rsidR="00CA7E96">
        <w:rPr>
          <w:color w:val="006666"/>
          <w:sz w:val="14"/>
          <w:szCs w:val="14"/>
        </w:rPr>
        <w:t>email Address</w:t>
      </w:r>
      <w:r w:rsidR="00CA7E96">
        <w:rPr>
          <w:b/>
          <w:bCs/>
          <w:color w:val="006666"/>
          <w:sz w:val="14"/>
          <w:szCs w:val="14"/>
        </w:rPr>
        <w:t xml:space="preserve">                        </w:t>
      </w:r>
      <w:r w:rsidRPr="00E775BA">
        <w:rPr>
          <w:b/>
          <w:bCs/>
          <w:color w:val="006666"/>
          <w:sz w:val="14"/>
          <w:szCs w:val="14"/>
        </w:rPr>
        <w:t xml:space="preserve">                                   </w:t>
      </w:r>
      <w:r w:rsidRPr="00E775BA">
        <w:rPr>
          <w:rFonts w:cs="Times New Roman"/>
          <w:noProof/>
          <w:color w:val="006666"/>
          <w:w w:val="90"/>
          <w:sz w:val="12"/>
          <w:szCs w:val="12"/>
          <w:vertAlign w:val="subscript"/>
        </w:rPr>
        <w:drawing>
          <wp:inline distT="0" distB="0" distL="0" distR="0" wp14:anchorId="1644AB21" wp14:editId="6365D89E">
            <wp:extent cx="116283" cy="116283"/>
            <wp:effectExtent l="0" t="0" r="0" b="0"/>
            <wp:docPr id="9" name="Picture 9" descr="T:\Volume F\فصلنامه\فصلنامه پژوهش های کیفی در نظام آموزشی\New folder\آپلود مجله بشه\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Volume F\فصلنامه\فصلنامه پژوهش های کیفی در نظام آموزشی\New folder\آپلود مجله بشه\Untitl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6" cy="127886"/>
                    </a:xfrm>
                    <a:prstGeom prst="rect">
                      <a:avLst/>
                    </a:prstGeom>
                    <a:noFill/>
                    <a:ln>
                      <a:noFill/>
                    </a:ln>
                  </pic:spPr>
                </pic:pic>
              </a:graphicData>
            </a:graphic>
          </wp:inline>
        </w:drawing>
      </w:r>
      <w:r w:rsidRPr="00E775BA">
        <w:rPr>
          <w:rFonts w:cs="Times New Roman"/>
          <w:color w:val="006666"/>
          <w:w w:val="90"/>
          <w:sz w:val="12"/>
          <w:szCs w:val="12"/>
        </w:rPr>
        <w:t xml:space="preserve">  </w:t>
      </w:r>
      <w:r w:rsidRPr="00E775BA">
        <w:rPr>
          <w:rFonts w:cs="Times New Roman"/>
          <w:color w:val="006666"/>
          <w:sz w:val="14"/>
          <w:szCs w:val="14"/>
        </w:rPr>
        <w:t>https://doi.org/10.71839/QRES.</w:t>
      </w:r>
    </w:p>
    <w:p w14:paraId="4286B83E" w14:textId="77777777" w:rsidR="00D7158B" w:rsidRPr="00E775BA" w:rsidRDefault="00D7158B" w:rsidP="00D7158B">
      <w:pPr>
        <w:bidi w:val="0"/>
        <w:spacing w:line="240" w:lineRule="auto"/>
        <w:ind w:left="-113" w:right="-57"/>
        <w:jc w:val="both"/>
        <w:rPr>
          <w:rFonts w:cs="Times New Roman"/>
          <w:color w:val="006666"/>
          <w:w w:val="90"/>
          <w:sz w:val="14"/>
          <w:szCs w:val="14"/>
        </w:rPr>
      </w:pPr>
    </w:p>
    <w:p w14:paraId="4556F3E5" w14:textId="77777777" w:rsidR="00D7158B" w:rsidRDefault="00D7158B" w:rsidP="00D7158B">
      <w:pPr>
        <w:bidi w:val="0"/>
        <w:spacing w:line="240" w:lineRule="auto"/>
        <w:ind w:right="-170"/>
        <w:jc w:val="both"/>
        <w:rPr>
          <w:rFonts w:cs="Times New Roman"/>
          <w:color w:val="006666"/>
          <w:w w:val="90"/>
          <w:sz w:val="12"/>
          <w:szCs w:val="12"/>
          <w:rtl/>
        </w:rPr>
      </w:pPr>
      <w:r w:rsidRPr="005A4F80">
        <w:rPr>
          <w:rFonts w:cs="Times New Roman"/>
          <w:noProof/>
          <w:color w:val="006666"/>
          <w:w w:val="90"/>
          <w:sz w:val="12"/>
          <w:szCs w:val="12"/>
        </w:rPr>
        <w:drawing>
          <wp:inline distT="0" distB="0" distL="0" distR="0" wp14:anchorId="5534181D" wp14:editId="4A8DEDE5">
            <wp:extent cx="330550" cy="116006"/>
            <wp:effectExtent l="0" t="0" r="0" b="3175"/>
            <wp:docPr id="11" name="Picture 11" descr="T:\Volume F\فصلنامه\فصلنامه پژوهش های کیفی در نظام آموزشی\New folder\آپلود مجله بشه\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Volume F\فصلنامه\فصلنامه پژوهش های کیفی در نظام آموزشی\New folder\آپلود مجله بشه\cc b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330550" cy="116006"/>
                    </a:xfrm>
                    <a:prstGeom prst="rect">
                      <a:avLst/>
                    </a:prstGeom>
                    <a:noFill/>
                    <a:ln>
                      <a:noFill/>
                    </a:ln>
                  </pic:spPr>
                </pic:pic>
              </a:graphicData>
            </a:graphic>
          </wp:inline>
        </w:drawing>
      </w:r>
      <w:r>
        <w:rPr>
          <w:rFonts w:cs="Times New Roman"/>
          <w:color w:val="006666"/>
          <w:w w:val="90"/>
          <w:sz w:val="14"/>
          <w:szCs w:val="14"/>
        </w:rPr>
        <w:t xml:space="preserve">  </w:t>
      </w:r>
      <w:r w:rsidRPr="00F20E86">
        <w:rPr>
          <w:rFonts w:cs="Times New Roman"/>
          <w:color w:val="006666"/>
          <w:w w:val="90"/>
          <w:sz w:val="14"/>
          <w:szCs w:val="14"/>
        </w:rPr>
        <w:t xml:space="preserve">Copyright © 2025, Author(s). This is an open-access article published by Islamic Azad University, </w:t>
      </w:r>
      <w:proofErr w:type="spellStart"/>
      <w:r w:rsidRPr="00F20E86">
        <w:rPr>
          <w:rFonts w:cs="Times New Roman"/>
          <w:color w:val="006666"/>
          <w:w w:val="90"/>
          <w:sz w:val="14"/>
          <w:szCs w:val="14"/>
        </w:rPr>
        <w:t>Sar.C</w:t>
      </w:r>
      <w:proofErr w:type="spellEnd"/>
      <w:r w:rsidRPr="00F20E86">
        <w:rPr>
          <w:rFonts w:cs="Times New Roman"/>
          <w:color w:val="006666"/>
          <w:w w:val="90"/>
          <w:sz w:val="14"/>
          <w:szCs w:val="14"/>
        </w:rPr>
        <w:t xml:space="preserve">. </w:t>
      </w:r>
      <w:proofErr w:type="gramStart"/>
      <w:r w:rsidRPr="00F20E86">
        <w:rPr>
          <w:rFonts w:cs="Times New Roman"/>
          <w:color w:val="006666"/>
          <w:w w:val="90"/>
          <w:sz w:val="14"/>
          <w:szCs w:val="14"/>
        </w:rPr>
        <w:t>under</w:t>
      </w:r>
      <w:proofErr w:type="gramEnd"/>
      <w:r w:rsidRPr="00F20E86">
        <w:rPr>
          <w:rFonts w:cs="Times New Roman"/>
          <w:color w:val="006666"/>
          <w:w w:val="90"/>
          <w:sz w:val="14"/>
          <w:szCs w:val="14"/>
        </w:rPr>
        <w:t xml:space="preserve"> the terms of the Creative Commons Attribution- CC BY 4.0 License (http://creativecommons.org/licenses/by/4.0) which permits unrestricted use, distribution, and reproduction in any medium, provided the original work is properly cited.</w:t>
      </w:r>
    </w:p>
    <w:p w14:paraId="33D77C12" w14:textId="77777777" w:rsidR="00D7158B" w:rsidRDefault="00D7158B" w:rsidP="00D7158B">
      <w:pPr>
        <w:bidi w:val="0"/>
        <w:spacing w:line="240" w:lineRule="auto"/>
        <w:ind w:left="-113" w:right="-57"/>
        <w:jc w:val="both"/>
        <w:rPr>
          <w:rFonts w:cs="Times New Roman"/>
          <w:color w:val="006666"/>
          <w:w w:val="90"/>
          <w:sz w:val="12"/>
          <w:szCs w:val="12"/>
          <w:rtl/>
        </w:rPr>
      </w:pPr>
    </w:p>
    <w:p w14:paraId="6CBF9D3F" w14:textId="77777777" w:rsidR="00D7158B" w:rsidRPr="00A33E59" w:rsidRDefault="00D7158B" w:rsidP="00D7158B">
      <w:pPr>
        <w:pStyle w:val="FootnoteText"/>
        <w:bidi w:val="0"/>
        <w:rPr>
          <w:lang w:val="en-US" w:bidi="fa-I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491FB" w14:textId="77777777" w:rsidR="00234A88" w:rsidRPr="00825D98" w:rsidRDefault="0069634C" w:rsidP="006945EB">
    <w:pPr>
      <w:pStyle w:val="Header"/>
      <w:bidi w:val="0"/>
      <w:rPr>
        <w:b/>
        <w:bCs/>
        <w:color w:val="006666"/>
        <w:sz w:val="18"/>
        <w:szCs w:val="18"/>
        <w:rtl/>
      </w:rPr>
    </w:pPr>
    <w:r w:rsidRPr="00825D98">
      <w:rPr>
        <w:b/>
        <w:bCs/>
        <w:color w:val="006666"/>
        <w:sz w:val="18"/>
        <w:szCs w:val="18"/>
      </w:rPr>
      <w:t>Qualitative Research in Educational Sciences</w:t>
    </w:r>
    <w:r>
      <w:rPr>
        <w:b/>
        <w:bCs/>
        <w:color w:val="006666"/>
        <w:sz w:val="18"/>
        <w:szCs w:val="18"/>
      </w:rPr>
      <w:t xml:space="preserve"> / </w:t>
    </w:r>
    <w:proofErr w:type="spellStart"/>
    <w:r w:rsidR="00CA7E96" w:rsidRPr="00825D98">
      <w:rPr>
        <w:b/>
        <w:bCs/>
        <w:color w:val="006666"/>
        <w:sz w:val="18"/>
        <w:szCs w:val="18"/>
      </w:rPr>
      <w:t>Vol</w:t>
    </w:r>
    <w:proofErr w:type="spellEnd"/>
    <w:r w:rsidR="006945EB">
      <w:rPr>
        <w:b/>
        <w:bCs/>
        <w:color w:val="006666"/>
        <w:sz w:val="18"/>
        <w:szCs w:val="18"/>
      </w:rPr>
      <w:t>, Issue</w:t>
    </w:r>
    <w:r w:rsidRPr="00825D98">
      <w:rPr>
        <w:b/>
        <w:bCs/>
        <w:color w:val="006666"/>
        <w:sz w:val="18"/>
        <w:szCs w:val="18"/>
      </w:rPr>
      <w:t xml:space="preserve">, </w:t>
    </w:r>
    <w:r w:rsidR="006945EB">
      <w:rPr>
        <w:b/>
        <w:bCs/>
        <w:color w:val="006666"/>
        <w:sz w:val="18"/>
        <w:szCs w:val="18"/>
      </w:rPr>
      <w:t>S</w:t>
    </w:r>
    <w:r w:rsidR="00CA7E96">
      <w:rPr>
        <w:b/>
        <w:bCs/>
        <w:color w:val="006666"/>
        <w:sz w:val="18"/>
        <w:szCs w:val="18"/>
      </w:rPr>
      <w:t>eason</w:t>
    </w:r>
    <w:r w:rsidR="006945EB">
      <w:rPr>
        <w:b/>
        <w:bCs/>
        <w:color w:val="006666"/>
        <w:sz w:val="18"/>
        <w:szCs w:val="18"/>
      </w:rPr>
      <w:t xml:space="preserve"> /</w:t>
    </w:r>
    <w:r w:rsidR="00CA7E96">
      <w:rPr>
        <w:b/>
        <w:bCs/>
        <w:color w:val="006666"/>
        <w:sz w:val="18"/>
        <w:szCs w:val="18"/>
      </w:rPr>
      <w:t xml:space="preserve"> </w:t>
    </w:r>
    <w:r w:rsidR="006945EB">
      <w:rPr>
        <w:b/>
        <w:bCs/>
        <w:color w:val="006666"/>
        <w:sz w:val="18"/>
        <w:szCs w:val="18"/>
      </w:rPr>
      <w:t>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9ECE7" w14:textId="77777777" w:rsidR="00234A88" w:rsidRPr="00825D98" w:rsidRDefault="00CA7E96" w:rsidP="00CA7E96">
    <w:pPr>
      <w:pStyle w:val="Header"/>
      <w:bidi w:val="0"/>
      <w:rPr>
        <w:rFonts w:ascii="Blotus" w:hAnsi="Blotus"/>
        <w:b/>
        <w:bCs/>
        <w:color w:val="006666"/>
        <w:sz w:val="18"/>
        <w:szCs w:val="18"/>
      </w:rPr>
    </w:pPr>
    <w:r w:rsidRPr="00CA7E96">
      <w:rPr>
        <w:rFonts w:ascii="Blotus" w:hAnsi="Blotus"/>
        <w:b/>
        <w:bCs/>
        <w:color w:val="006666"/>
        <w:sz w:val="18"/>
        <w:szCs w:val="18"/>
      </w:rPr>
      <w:t>Name</w:t>
    </w:r>
    <w:r w:rsidR="006945EB">
      <w:rPr>
        <w:rFonts w:ascii="Blotus" w:hAnsi="Blotus"/>
        <w:b/>
        <w:bCs/>
        <w:color w:val="006666"/>
        <w:sz w:val="18"/>
        <w:szCs w:val="18"/>
      </w:rPr>
      <w:t xml:space="preserve"> and</w:t>
    </w:r>
    <w:r w:rsidRPr="00CA7E96">
      <w:rPr>
        <w:rFonts w:ascii="Blotus" w:hAnsi="Blotus"/>
        <w:b/>
        <w:bCs/>
        <w:color w:val="006666"/>
        <w:sz w:val="18"/>
        <w:szCs w:val="18"/>
      </w:rPr>
      <w:t xml:space="preserve"> Family Name</w:t>
    </w:r>
    <w:r>
      <w:rPr>
        <w:rFonts w:ascii="Blotus" w:hAnsi="Blotus"/>
        <w:b/>
        <w:bCs/>
        <w:color w:val="006666"/>
        <w:sz w:val="18"/>
        <w:szCs w:val="18"/>
      </w:rPr>
      <w:t xml:space="preserve"> of first Author</w:t>
    </w:r>
    <w:r w:rsidR="0069634C">
      <w:rPr>
        <w:rFonts w:ascii="Blotus" w:hAnsi="Blotus"/>
        <w:b/>
        <w:bCs/>
        <w:color w:val="006666"/>
        <w:sz w:val="18"/>
        <w:szCs w:val="18"/>
      </w:rPr>
      <w:t xml:space="preserve"> et al. /</w:t>
    </w:r>
    <w:r w:rsidR="0069634C" w:rsidRPr="00E34293">
      <w:rPr>
        <w:rFonts w:ascii="Blotus" w:hAnsi="Blotus"/>
        <w:b/>
        <w:bCs/>
        <w:color w:val="006666"/>
        <w:sz w:val="18"/>
        <w:szCs w:val="18"/>
      </w:rPr>
      <w:t xml:space="preserve"> </w:t>
    </w:r>
    <w:r>
      <w:rPr>
        <w:rFonts w:ascii="Blotus" w:hAnsi="Blotus"/>
        <w:b/>
        <w:bCs/>
        <w:color w:val="006666"/>
        <w:sz w:val="18"/>
        <w:szCs w:val="18"/>
      </w:rPr>
      <w:t>Article Title</w:t>
    </w:r>
    <w:r w:rsidR="0069634C">
      <w:rPr>
        <w:rFonts w:ascii="Blotus" w:hAnsi="Blotus"/>
        <w:b/>
        <w:bCs/>
        <w:color w:val="006666"/>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7809B9" w14:textId="77777777" w:rsidR="00234A88" w:rsidRDefault="0069634C">
    <w:pPr>
      <w:pStyle w:val="Header"/>
    </w:pPr>
    <w:r w:rsidRPr="00DF7B19">
      <w:rPr>
        <w:rFonts w:ascii="Calibri" w:hAnsi="Calibri"/>
        <w:b/>
        <w:bCs/>
        <w:noProof/>
        <w:color w:val="006666"/>
        <w:sz w:val="18"/>
        <w:szCs w:val="18"/>
        <w:rtl/>
      </w:rPr>
      <w:drawing>
        <wp:anchor distT="0" distB="0" distL="114300" distR="114300" simplePos="0" relativeHeight="251659264" behindDoc="0" locked="0" layoutInCell="1" allowOverlap="1" wp14:anchorId="77559A72" wp14:editId="2A12FBB4">
          <wp:simplePos x="0" y="0"/>
          <wp:positionH relativeFrom="column">
            <wp:posOffset>599440</wp:posOffset>
          </wp:positionH>
          <wp:positionV relativeFrom="paragraph">
            <wp:posOffset>-562610</wp:posOffset>
          </wp:positionV>
          <wp:extent cx="2481580" cy="996315"/>
          <wp:effectExtent l="0" t="0" r="0" b="0"/>
          <wp:wrapTopAndBottom/>
          <wp:docPr id="3" name="Picture 3" descr="T:\Volume F\فصلنامه\فصلنامه پژوهش های کیفی در نظام آموزشی\جلد 1\آرم صفحات مقدمات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Volume F\فصلنامه\فصلنامه پژوهش های کیفی در نظام آموزشی\جلد 1\آرم صفحات مقدماتی.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5831" t="10745" b="1069"/>
                  <a:stretch/>
                </pic:blipFill>
                <pic:spPr bwMode="auto">
                  <a:xfrm flipH="1">
                    <a:off x="0" y="0"/>
                    <a:ext cx="2481580" cy="9963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42581"/>
    <w:multiLevelType w:val="hybridMultilevel"/>
    <w:tmpl w:val="FE1E4796"/>
    <w:lvl w:ilvl="0" w:tplc="2F1A5D52">
      <w:start w:val="1"/>
      <w:numFmt w:val="bullet"/>
      <w:lvlText w:val=""/>
      <w:lvlJc w:val="left"/>
      <w:pPr>
        <w:ind w:left="720" w:hanging="360"/>
      </w:pPr>
      <w:rPr>
        <w:rFonts w:ascii="Symbol" w:hAnsi="Symbol" w:cs="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40"/>
    <w:rsid w:val="00020E4D"/>
    <w:rsid w:val="00077740"/>
    <w:rsid w:val="00092D65"/>
    <w:rsid w:val="000A054D"/>
    <w:rsid w:val="000F424E"/>
    <w:rsid w:val="001107CE"/>
    <w:rsid w:val="001D462A"/>
    <w:rsid w:val="001D6827"/>
    <w:rsid w:val="00234A88"/>
    <w:rsid w:val="00247BBC"/>
    <w:rsid w:val="00255C0A"/>
    <w:rsid w:val="00255F75"/>
    <w:rsid w:val="00292086"/>
    <w:rsid w:val="00293E89"/>
    <w:rsid w:val="00330F4F"/>
    <w:rsid w:val="00337C67"/>
    <w:rsid w:val="0037420E"/>
    <w:rsid w:val="00425921"/>
    <w:rsid w:val="00445312"/>
    <w:rsid w:val="00460CA6"/>
    <w:rsid w:val="004C6335"/>
    <w:rsid w:val="004D1B54"/>
    <w:rsid w:val="00511BC1"/>
    <w:rsid w:val="00565B23"/>
    <w:rsid w:val="00592032"/>
    <w:rsid w:val="005D33D4"/>
    <w:rsid w:val="006945EB"/>
    <w:rsid w:val="0069634C"/>
    <w:rsid w:val="006A6E0A"/>
    <w:rsid w:val="006F5F01"/>
    <w:rsid w:val="006F7A3F"/>
    <w:rsid w:val="007C7A03"/>
    <w:rsid w:val="007F3A32"/>
    <w:rsid w:val="008261E1"/>
    <w:rsid w:val="00853B66"/>
    <w:rsid w:val="00876501"/>
    <w:rsid w:val="008B3F7D"/>
    <w:rsid w:val="008C7506"/>
    <w:rsid w:val="008D7C0C"/>
    <w:rsid w:val="00975E2B"/>
    <w:rsid w:val="009B088E"/>
    <w:rsid w:val="009B34E5"/>
    <w:rsid w:val="009B470E"/>
    <w:rsid w:val="00A36152"/>
    <w:rsid w:val="00AF5CA5"/>
    <w:rsid w:val="00B660CD"/>
    <w:rsid w:val="00B7196F"/>
    <w:rsid w:val="00BC30D4"/>
    <w:rsid w:val="00BE685C"/>
    <w:rsid w:val="00CA0B30"/>
    <w:rsid w:val="00CA7E96"/>
    <w:rsid w:val="00CF3F73"/>
    <w:rsid w:val="00D67083"/>
    <w:rsid w:val="00D7158B"/>
    <w:rsid w:val="00DF71E3"/>
    <w:rsid w:val="00E64897"/>
    <w:rsid w:val="00E81453"/>
    <w:rsid w:val="00FB0883"/>
    <w:rsid w:val="00FC6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DE3CB1"/>
  <w15:chartTrackingRefBased/>
  <w15:docId w15:val="{193DFECD-4D5F-477F-B310-2E83F4FC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عدد توان"/>
    <w:qFormat/>
    <w:rsid w:val="00D7158B"/>
    <w:pPr>
      <w:bidi/>
      <w:spacing w:after="0" w:line="204" w:lineRule="auto"/>
    </w:pPr>
    <w:rPr>
      <w:rFonts w:ascii="Times New Roman" w:eastAsia="Calibri" w:hAnsi="Times New Roman" w:cs="B Roya"/>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A36152"/>
    <w:pPr>
      <w:spacing w:line="240" w:lineRule="auto"/>
    </w:pPr>
    <w:rPr>
      <w:rFonts w:cs="Mitra"/>
    </w:rPr>
  </w:style>
  <w:style w:type="character" w:customStyle="1" w:styleId="CommentTextChar">
    <w:name w:val="Comment Text Char"/>
    <w:basedOn w:val="DefaultParagraphFont"/>
    <w:link w:val="CommentText"/>
    <w:rsid w:val="00A36152"/>
    <w:rPr>
      <w:rFonts w:ascii="B Zar" w:hAnsi="B Zar" w:cs="Mitra"/>
      <w:sz w:val="24"/>
    </w:rPr>
  </w:style>
  <w:style w:type="paragraph" w:styleId="Header">
    <w:name w:val="header"/>
    <w:basedOn w:val="Normal"/>
    <w:link w:val="HeaderChar"/>
    <w:uiPriority w:val="99"/>
    <w:unhideWhenUsed/>
    <w:rsid w:val="00D7158B"/>
    <w:pPr>
      <w:tabs>
        <w:tab w:val="center" w:pos="4513"/>
        <w:tab w:val="right" w:pos="9026"/>
      </w:tabs>
      <w:spacing w:line="240" w:lineRule="auto"/>
    </w:pPr>
  </w:style>
  <w:style w:type="character" w:customStyle="1" w:styleId="HeaderChar">
    <w:name w:val="Header Char"/>
    <w:basedOn w:val="DefaultParagraphFont"/>
    <w:link w:val="Header"/>
    <w:uiPriority w:val="99"/>
    <w:rsid w:val="00D7158B"/>
    <w:rPr>
      <w:rFonts w:ascii="Times New Roman" w:eastAsia="Calibri" w:hAnsi="Times New Roman" w:cs="B Roya"/>
      <w:szCs w:val="26"/>
      <w:lang w:bidi="fa-IR"/>
    </w:rPr>
  </w:style>
  <w:style w:type="paragraph" w:styleId="FootnoteText">
    <w:name w:val="footnote text"/>
    <w:aliases w:val=" Char,Footnote Text Char Char Char,Footnote Text Char Char Char Char,Footnote Text Char Char,Char Char,پاورقي,پاورقی,متن زيرنويس,Footnote Text Char1 Char1 Char,Footnote Text Char Char Char1 Char,Footnote Text Char1 Char1 Char Char Char"/>
    <w:basedOn w:val="Normal"/>
    <w:link w:val="FootnoteTextChar"/>
    <w:unhideWhenUsed/>
    <w:qFormat/>
    <w:rsid w:val="00D7158B"/>
    <w:pPr>
      <w:spacing w:line="240" w:lineRule="auto"/>
    </w:pPr>
    <w:rPr>
      <w:rFonts w:cs="Times New Roman"/>
      <w:sz w:val="20"/>
      <w:szCs w:val="20"/>
      <w:lang w:val="x-none" w:eastAsia="x-none" w:bidi="ar-SA"/>
    </w:rPr>
  </w:style>
  <w:style w:type="character" w:customStyle="1" w:styleId="FootnoteTextChar">
    <w:name w:val="Footnote Text Char"/>
    <w:aliases w:val=" Char Char,Footnote Text Char Char Char Char1,Footnote Text Char Char Char Char Char,Footnote Text Char Char Char1,Char Char Char,پاورقي Char,پاورقی Char,متن زيرنويس Char,Footnote Text Char1 Char1 Char Char"/>
    <w:basedOn w:val="DefaultParagraphFont"/>
    <w:link w:val="FootnoteText"/>
    <w:qFormat/>
    <w:rsid w:val="00D7158B"/>
    <w:rPr>
      <w:rFonts w:ascii="Times New Roman" w:eastAsia="Calibri" w:hAnsi="Times New Roman" w:cs="Times New Roman"/>
      <w:sz w:val="20"/>
      <w:szCs w:val="20"/>
      <w:lang w:val="x-none" w:eastAsia="x-none"/>
    </w:rPr>
  </w:style>
  <w:style w:type="character" w:styleId="FootnoteReference">
    <w:name w:val="footnote reference"/>
    <w:aliases w:val="شماره زيرنويس,Footnote Reference 2,مرجع پاورقي,Footnote,Omid Footnote,Char Char1 Char,علامت پاورقی,مرجع  من"/>
    <w:uiPriority w:val="99"/>
    <w:unhideWhenUsed/>
    <w:qFormat/>
    <w:rsid w:val="00D7158B"/>
    <w:rPr>
      <w:vertAlign w:val="superscript"/>
    </w:rPr>
  </w:style>
  <w:style w:type="paragraph" w:styleId="ListParagraph">
    <w:name w:val="List Paragraph"/>
    <w:basedOn w:val="Normal"/>
    <w:uiPriority w:val="34"/>
    <w:qFormat/>
    <w:rsid w:val="00D7158B"/>
    <w:pPr>
      <w:ind w:left="720"/>
      <w:contextualSpacing/>
    </w:pPr>
  </w:style>
  <w:style w:type="paragraph" w:styleId="EndnoteText">
    <w:name w:val="endnote text"/>
    <w:basedOn w:val="Normal"/>
    <w:link w:val="EndnoteTextChar"/>
    <w:uiPriority w:val="99"/>
    <w:rsid w:val="00D7158B"/>
    <w:pPr>
      <w:bidi w:val="0"/>
      <w:spacing w:line="240" w:lineRule="auto"/>
    </w:pPr>
    <w:rPr>
      <w:rFonts w:eastAsia="Times New Roman" w:cs="Times New Roman"/>
      <w:sz w:val="20"/>
      <w:szCs w:val="20"/>
      <w:lang w:val="x-none" w:eastAsia="x-none" w:bidi="ar-SA"/>
    </w:rPr>
  </w:style>
  <w:style w:type="character" w:customStyle="1" w:styleId="EndnoteTextChar">
    <w:name w:val="Endnote Text Char"/>
    <w:basedOn w:val="DefaultParagraphFont"/>
    <w:link w:val="EndnoteText"/>
    <w:uiPriority w:val="99"/>
    <w:rsid w:val="00D7158B"/>
    <w:rPr>
      <w:rFonts w:ascii="Times New Roman" w:eastAsia="Times New Roman" w:hAnsi="Times New Roman" w:cs="Times New Roman"/>
      <w:sz w:val="20"/>
      <w:szCs w:val="20"/>
      <w:lang w:val="x-none" w:eastAsia="x-none"/>
    </w:rPr>
  </w:style>
  <w:style w:type="character" w:styleId="EndnoteReference">
    <w:name w:val="endnote reference"/>
    <w:uiPriority w:val="99"/>
    <w:rsid w:val="00D7158B"/>
    <w:rPr>
      <w:vertAlign w:val="superscript"/>
    </w:rPr>
  </w:style>
  <w:style w:type="paragraph" w:customStyle="1" w:styleId="footnote">
    <w:name w:val="footnote"/>
    <w:basedOn w:val="FootnoteText"/>
    <w:link w:val="footnoteChar"/>
    <w:qFormat/>
    <w:rsid w:val="00D7158B"/>
    <w:pPr>
      <w:bidi w:val="0"/>
    </w:pPr>
  </w:style>
  <w:style w:type="character" w:customStyle="1" w:styleId="footnoteChar">
    <w:name w:val="footnote Char"/>
    <w:link w:val="footnote"/>
    <w:rsid w:val="00D7158B"/>
    <w:rPr>
      <w:rFonts w:ascii="Times New Roman" w:eastAsia="Calibri" w:hAnsi="Times New Roman" w:cs="Times New Roman"/>
      <w:sz w:val="20"/>
      <w:szCs w:val="20"/>
      <w:lang w:val="x-none" w:eastAsia="x-none"/>
    </w:rPr>
  </w:style>
  <w:style w:type="paragraph" w:styleId="Footer">
    <w:name w:val="footer"/>
    <w:basedOn w:val="Normal"/>
    <w:link w:val="FooterChar"/>
    <w:uiPriority w:val="99"/>
    <w:unhideWhenUsed/>
    <w:rsid w:val="00D67083"/>
    <w:pPr>
      <w:tabs>
        <w:tab w:val="center" w:pos="4680"/>
        <w:tab w:val="right" w:pos="9360"/>
      </w:tabs>
      <w:spacing w:line="240" w:lineRule="auto"/>
    </w:pPr>
  </w:style>
  <w:style w:type="character" w:customStyle="1" w:styleId="FooterChar">
    <w:name w:val="Footer Char"/>
    <w:basedOn w:val="DefaultParagraphFont"/>
    <w:link w:val="Footer"/>
    <w:uiPriority w:val="99"/>
    <w:rsid w:val="00D67083"/>
    <w:rPr>
      <w:rFonts w:ascii="Times New Roman" w:eastAsia="Calibri" w:hAnsi="Times New Roman" w:cs="B Roya"/>
      <w:szCs w:val="26"/>
      <w:lang w:bidi="fa-IR"/>
    </w:rPr>
  </w:style>
  <w:style w:type="character" w:styleId="Strong">
    <w:name w:val="Strong"/>
    <w:basedOn w:val="DefaultParagraphFont"/>
    <w:uiPriority w:val="22"/>
    <w:qFormat/>
    <w:rsid w:val="009B088E"/>
    <w:rPr>
      <w:b/>
      <w:bCs/>
    </w:rPr>
  </w:style>
  <w:style w:type="character" w:customStyle="1" w:styleId="oxzekf">
    <w:name w:val="oxzekf"/>
    <w:basedOn w:val="DefaultParagraphFont"/>
    <w:rsid w:val="009B088E"/>
  </w:style>
  <w:style w:type="character" w:customStyle="1" w:styleId="hwtze">
    <w:name w:val="hwtze"/>
    <w:basedOn w:val="DefaultParagraphFont"/>
    <w:rsid w:val="00592032"/>
  </w:style>
  <w:style w:type="character" w:customStyle="1" w:styleId="rynqvb">
    <w:name w:val="rynqvb"/>
    <w:basedOn w:val="DefaultParagraphFont"/>
    <w:rsid w:val="00592032"/>
  </w:style>
  <w:style w:type="character" w:styleId="Hyperlink">
    <w:name w:val="Hyperlink"/>
    <w:basedOn w:val="DefaultParagraphFont"/>
    <w:uiPriority w:val="99"/>
    <w:unhideWhenUsed/>
    <w:rsid w:val="005D33D4"/>
    <w:rPr>
      <w:color w:val="0563C1" w:themeColor="hyperlink"/>
      <w:u w:val="single"/>
    </w:rPr>
  </w:style>
  <w:style w:type="character" w:customStyle="1" w:styleId="UnresolvedMention">
    <w:name w:val="Unresolved Mention"/>
    <w:basedOn w:val="DefaultParagraphFont"/>
    <w:uiPriority w:val="99"/>
    <w:semiHidden/>
    <w:unhideWhenUsed/>
    <w:rsid w:val="005D33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7833486">
      <w:bodyDiv w:val="1"/>
      <w:marLeft w:val="0"/>
      <w:marRight w:val="0"/>
      <w:marTop w:val="0"/>
      <w:marBottom w:val="0"/>
      <w:divBdr>
        <w:top w:val="none" w:sz="0" w:space="0" w:color="auto"/>
        <w:left w:val="none" w:sz="0" w:space="0" w:color="auto"/>
        <w:bottom w:val="none" w:sz="0" w:space="0" w:color="auto"/>
        <w:right w:val="none" w:sz="0" w:space="0" w:color="auto"/>
      </w:divBdr>
      <w:divsChild>
        <w:div w:id="1876624572">
          <w:marLeft w:val="0"/>
          <w:marRight w:val="0"/>
          <w:marTop w:val="0"/>
          <w:marBottom w:val="0"/>
          <w:divBdr>
            <w:top w:val="none" w:sz="0" w:space="0" w:color="auto"/>
            <w:left w:val="none" w:sz="0" w:space="0" w:color="auto"/>
            <w:bottom w:val="none" w:sz="0" w:space="0" w:color="auto"/>
            <w:right w:val="none" w:sz="0" w:space="0" w:color="auto"/>
          </w:divBdr>
          <w:divsChild>
            <w:div w:id="1108623434">
              <w:marLeft w:val="0"/>
              <w:marRight w:val="0"/>
              <w:marTop w:val="0"/>
              <w:marBottom w:val="0"/>
              <w:divBdr>
                <w:top w:val="none" w:sz="0" w:space="0" w:color="auto"/>
                <w:left w:val="none" w:sz="0" w:space="0" w:color="auto"/>
                <w:bottom w:val="none" w:sz="0" w:space="0" w:color="auto"/>
                <w:right w:val="none" w:sz="0" w:space="0" w:color="auto"/>
              </w:divBdr>
            </w:div>
          </w:divsChild>
        </w:div>
        <w:div w:id="331420446">
          <w:marLeft w:val="0"/>
          <w:marRight w:val="0"/>
          <w:marTop w:val="0"/>
          <w:marBottom w:val="0"/>
          <w:divBdr>
            <w:top w:val="none" w:sz="0" w:space="0" w:color="auto"/>
            <w:left w:val="none" w:sz="0" w:space="0" w:color="auto"/>
            <w:bottom w:val="none" w:sz="0" w:space="0" w:color="auto"/>
            <w:right w:val="none" w:sz="0" w:space="0" w:color="auto"/>
          </w:divBdr>
          <w:divsChild>
            <w:div w:id="465125037">
              <w:marLeft w:val="0"/>
              <w:marRight w:val="0"/>
              <w:marTop w:val="0"/>
              <w:marBottom w:val="0"/>
              <w:divBdr>
                <w:top w:val="none" w:sz="0" w:space="0" w:color="auto"/>
                <w:left w:val="none" w:sz="0" w:space="0" w:color="auto"/>
                <w:bottom w:val="none" w:sz="0" w:space="0" w:color="auto"/>
                <w:right w:val="none" w:sz="0" w:space="0" w:color="auto"/>
              </w:divBdr>
              <w:divsChild>
                <w:div w:id="296378495">
                  <w:marLeft w:val="0"/>
                  <w:marRight w:val="0"/>
                  <w:marTop w:val="0"/>
                  <w:marBottom w:val="0"/>
                  <w:divBdr>
                    <w:top w:val="none" w:sz="0" w:space="0" w:color="auto"/>
                    <w:left w:val="none" w:sz="0" w:space="0" w:color="auto"/>
                    <w:bottom w:val="none" w:sz="0" w:space="0" w:color="auto"/>
                    <w:right w:val="none" w:sz="0" w:space="0" w:color="auto"/>
                  </w:divBdr>
                  <w:divsChild>
                    <w:div w:id="1505052384">
                      <w:marLeft w:val="0"/>
                      <w:marRight w:val="0"/>
                      <w:marTop w:val="0"/>
                      <w:marBottom w:val="0"/>
                      <w:divBdr>
                        <w:top w:val="none" w:sz="0" w:space="0" w:color="auto"/>
                        <w:left w:val="none" w:sz="0" w:space="0" w:color="auto"/>
                        <w:bottom w:val="none" w:sz="0" w:space="0" w:color="auto"/>
                        <w:right w:val="none" w:sz="0" w:space="0" w:color="auto"/>
                      </w:divBdr>
                      <w:divsChild>
                        <w:div w:id="2069960548">
                          <w:marLeft w:val="0"/>
                          <w:marRight w:val="0"/>
                          <w:marTop w:val="0"/>
                          <w:marBottom w:val="0"/>
                          <w:divBdr>
                            <w:top w:val="none" w:sz="0" w:space="0" w:color="auto"/>
                            <w:left w:val="none" w:sz="0" w:space="0" w:color="auto"/>
                            <w:bottom w:val="none" w:sz="0" w:space="0" w:color="auto"/>
                            <w:right w:val="none" w:sz="0" w:space="0" w:color="auto"/>
                          </w:divBdr>
                          <w:divsChild>
                            <w:div w:id="1584988840">
                              <w:marLeft w:val="0"/>
                              <w:marRight w:val="0"/>
                              <w:marTop w:val="0"/>
                              <w:marBottom w:val="0"/>
                              <w:divBdr>
                                <w:top w:val="none" w:sz="0" w:space="0" w:color="auto"/>
                                <w:left w:val="none" w:sz="0" w:space="0" w:color="auto"/>
                                <w:bottom w:val="none" w:sz="0" w:space="0" w:color="auto"/>
                                <w:right w:val="none" w:sz="0" w:space="0" w:color="auto"/>
                              </w:divBdr>
                              <w:divsChild>
                                <w:div w:id="248850657">
                                  <w:marLeft w:val="0"/>
                                  <w:marRight w:val="0"/>
                                  <w:marTop w:val="0"/>
                                  <w:marBottom w:val="0"/>
                                  <w:divBdr>
                                    <w:top w:val="none" w:sz="0" w:space="0" w:color="auto"/>
                                    <w:left w:val="none" w:sz="0" w:space="0" w:color="auto"/>
                                    <w:bottom w:val="none" w:sz="0" w:space="0" w:color="auto"/>
                                    <w:right w:val="none" w:sz="0" w:space="0" w:color="auto"/>
                                  </w:divBdr>
                                  <w:divsChild>
                                    <w:div w:id="2107840657">
                                      <w:marLeft w:val="0"/>
                                      <w:marRight w:val="0"/>
                                      <w:marTop w:val="0"/>
                                      <w:marBottom w:val="0"/>
                                      <w:divBdr>
                                        <w:top w:val="none" w:sz="0" w:space="0" w:color="auto"/>
                                        <w:left w:val="none" w:sz="0" w:space="0" w:color="auto"/>
                                        <w:bottom w:val="none" w:sz="0" w:space="0" w:color="auto"/>
                                        <w:right w:val="none" w:sz="0" w:space="0" w:color="auto"/>
                                      </w:divBdr>
                                      <w:divsChild>
                                        <w:div w:id="1374189836">
                                          <w:marLeft w:val="0"/>
                                          <w:marRight w:val="0"/>
                                          <w:marTop w:val="0"/>
                                          <w:marBottom w:val="0"/>
                                          <w:divBdr>
                                            <w:top w:val="none" w:sz="0" w:space="0" w:color="auto"/>
                                            <w:left w:val="none" w:sz="0" w:space="0" w:color="auto"/>
                                            <w:bottom w:val="none" w:sz="0" w:space="0" w:color="auto"/>
                                            <w:right w:val="none" w:sz="0" w:space="0" w:color="auto"/>
                                          </w:divBdr>
                                          <w:divsChild>
                                            <w:div w:id="1906599218">
                                              <w:marLeft w:val="0"/>
                                              <w:marRight w:val="0"/>
                                              <w:marTop w:val="0"/>
                                              <w:marBottom w:val="0"/>
                                              <w:divBdr>
                                                <w:top w:val="none" w:sz="0" w:space="0" w:color="auto"/>
                                                <w:left w:val="none" w:sz="0" w:space="0" w:color="auto"/>
                                                <w:bottom w:val="none" w:sz="0" w:space="0" w:color="auto"/>
                                                <w:right w:val="none" w:sz="0" w:space="0" w:color="auto"/>
                                              </w:divBdr>
                                              <w:divsChild>
                                                <w:div w:id="1764229790">
                                                  <w:marLeft w:val="0"/>
                                                  <w:marRight w:val="0"/>
                                                  <w:marTop w:val="0"/>
                                                  <w:marBottom w:val="0"/>
                                                  <w:divBdr>
                                                    <w:top w:val="none" w:sz="0" w:space="0" w:color="auto"/>
                                                    <w:left w:val="none" w:sz="0" w:space="0" w:color="auto"/>
                                                    <w:bottom w:val="none" w:sz="0" w:space="0" w:color="auto"/>
                                                    <w:right w:val="none" w:sz="0" w:space="0" w:color="auto"/>
                                                  </w:divBdr>
                                                  <w:divsChild>
                                                    <w:div w:id="421683323">
                                                      <w:marLeft w:val="0"/>
                                                      <w:marRight w:val="0"/>
                                                      <w:marTop w:val="0"/>
                                                      <w:marBottom w:val="0"/>
                                                      <w:divBdr>
                                                        <w:top w:val="none" w:sz="0" w:space="0" w:color="auto"/>
                                                        <w:left w:val="none" w:sz="0" w:space="0" w:color="auto"/>
                                                        <w:bottom w:val="none" w:sz="0" w:space="0" w:color="auto"/>
                                                        <w:right w:val="none" w:sz="0" w:space="0" w:color="auto"/>
                                                      </w:divBdr>
                                                      <w:divsChild>
                                                        <w:div w:id="1138491509">
                                                          <w:marLeft w:val="0"/>
                                                          <w:marRight w:val="0"/>
                                                          <w:marTop w:val="0"/>
                                                          <w:marBottom w:val="0"/>
                                                          <w:divBdr>
                                                            <w:top w:val="none" w:sz="0" w:space="0" w:color="auto"/>
                                                            <w:left w:val="none" w:sz="0" w:space="0" w:color="auto"/>
                                                            <w:bottom w:val="none" w:sz="0" w:space="0" w:color="auto"/>
                                                            <w:right w:val="none" w:sz="0" w:space="0" w:color="auto"/>
                                                          </w:divBdr>
                                                          <w:divsChild>
                                                            <w:div w:id="1682581135">
                                                              <w:marLeft w:val="0"/>
                                                              <w:marRight w:val="0"/>
                                                              <w:marTop w:val="0"/>
                                                              <w:marBottom w:val="0"/>
                                                              <w:divBdr>
                                                                <w:top w:val="none" w:sz="0" w:space="0" w:color="auto"/>
                                                                <w:left w:val="none" w:sz="0" w:space="0" w:color="auto"/>
                                                                <w:bottom w:val="none" w:sz="0" w:space="0" w:color="auto"/>
                                                                <w:right w:val="none" w:sz="0" w:space="0" w:color="auto"/>
                                                              </w:divBdr>
                                                              <w:divsChild>
                                                                <w:div w:id="2068146429">
                                                                  <w:marLeft w:val="0"/>
                                                                  <w:marRight w:val="0"/>
                                                                  <w:marTop w:val="0"/>
                                                                  <w:marBottom w:val="0"/>
                                                                  <w:divBdr>
                                                                    <w:top w:val="none" w:sz="0" w:space="0" w:color="auto"/>
                                                                    <w:left w:val="none" w:sz="0" w:space="0" w:color="auto"/>
                                                                    <w:bottom w:val="none" w:sz="0" w:space="0" w:color="auto"/>
                                                                    <w:right w:val="none" w:sz="0" w:space="0" w:color="auto"/>
                                                                  </w:divBdr>
                                                                  <w:divsChild>
                                                                    <w:div w:id="66258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07448481.2021.198791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37/cou000067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vilica.com/doc/2101046"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civilica.com/doc/2148337" TargetMode="External"/><Relationship Id="rId4" Type="http://schemas.openxmlformats.org/officeDocument/2006/relationships/settings" Target="settings.xml"/><Relationship Id="rId9" Type="http://schemas.openxmlformats.org/officeDocument/2006/relationships/hyperlink" Target="https://doi.org/10.1080/07294360.2023.2189456" TargetMode="Externa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10AE6-BADD-46F3-81F1-0E9C4DE07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 </cp:lastModifiedBy>
  <cp:revision>2</cp:revision>
  <cp:lastPrinted>2025-06-16T16:31:00Z</cp:lastPrinted>
  <dcterms:created xsi:type="dcterms:W3CDTF">2026-06-22T18:48:00Z</dcterms:created>
  <dcterms:modified xsi:type="dcterms:W3CDTF">2026-06-22T18:48:00Z</dcterms:modified>
</cp:coreProperties>
</file>