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FD9C" w14:textId="3D88848A" w:rsidR="00134269" w:rsidRDefault="00134269">
      <w:pPr>
        <w:pStyle w:val="NormalWeb"/>
        <w:divId w:val="1066874364"/>
      </w:pPr>
    </w:p>
    <w:p w14:paraId="76813AD0" w14:textId="77777777" w:rsidR="00134269" w:rsidRDefault="00134269">
      <w:pPr>
        <w:divId w:val="106687436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5E82F20" wp14:editId="6764C5B9">
                <wp:extent cx="5943600" cy="1270"/>
                <wp:effectExtent l="0" t="31750" r="0" b="36830"/>
                <wp:docPr id="15144537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E7940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6BA220A" w14:textId="064F8FC6" w:rsidR="00134269" w:rsidRDefault="00134269">
      <w:pPr>
        <w:pStyle w:val="Heading3"/>
        <w:divId w:val="106687436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 xml:space="preserve">INTRODUCTION </w:t>
      </w:r>
    </w:p>
    <w:p w14:paraId="3DB8C9CD" w14:textId="77777777" w:rsidR="00134269" w:rsidRDefault="00134269">
      <w:pPr>
        <w:pStyle w:val="NormalWeb"/>
        <w:divId w:val="1066874364"/>
      </w:pPr>
      <w:r>
        <w:t xml:space="preserve">Within the competitive hospitality and food and beverage sectors, organizations seek not just to provide quality products and services but also a competitive advantage via higher levels of </w:t>
      </w:r>
      <w:r>
        <w:rPr>
          <w:rStyle w:val="Strong"/>
        </w:rPr>
        <w:t>CS</w:t>
      </w:r>
      <w:r>
        <w:t xml:space="preserve"> and </w:t>
      </w:r>
      <w:r>
        <w:rPr>
          <w:rStyle w:val="Strong"/>
        </w:rPr>
        <w:t>CL</w:t>
      </w:r>
      <w:r>
        <w:t>. Towards this aim, organizations apply various marketing approaches (</w:t>
      </w:r>
      <w:proofErr w:type="spellStart"/>
      <w:r>
        <w:t>Namin</w:t>
      </w:r>
      <w:proofErr w:type="spellEnd"/>
      <w:r>
        <w:t>, 2017) geared towards excellent product provision leading to content customers (</w:t>
      </w:r>
      <w:proofErr w:type="spellStart"/>
      <w:r>
        <w:t>Shemwell</w:t>
      </w:r>
      <w:proofErr w:type="spellEnd"/>
      <w:r>
        <w:t xml:space="preserve"> et al., 1998). </w:t>
      </w:r>
      <w:r>
        <w:rPr>
          <w:rStyle w:val="Strong"/>
        </w:rPr>
        <w:t>CS</w:t>
      </w:r>
      <w:r>
        <w:t xml:space="preserve"> and </w:t>
      </w:r>
      <w:r>
        <w:rPr>
          <w:rStyle w:val="Strong"/>
        </w:rPr>
        <w:t>SQ</w:t>
      </w:r>
      <w:r>
        <w:t xml:space="preserve"> are core topics widely researched in marketing. More specifically, </w:t>
      </w:r>
      <w:r>
        <w:rPr>
          <w:rStyle w:val="Strong"/>
        </w:rPr>
        <w:t>CS</w:t>
      </w:r>
      <w:r>
        <w:t xml:space="preserve"> is "the evaluation that a product or service, or its attributes, delivers a pleasurable level of consumption satisfaction..." (Oliver, 1997, p.28).</w:t>
      </w:r>
    </w:p>
    <w:p w14:paraId="75229416" w14:textId="77777777" w:rsidR="00134269" w:rsidRDefault="00134269">
      <w:pPr>
        <w:pStyle w:val="NormalWeb"/>
        <w:divId w:val="1066874364"/>
      </w:pPr>
      <w:r>
        <w:rPr>
          <w:rStyle w:val="Strong"/>
        </w:rPr>
        <w:t>CL</w:t>
      </w:r>
      <w:r>
        <w:t xml:space="preserve"> within the restaurant industry is influenced by various factors including </w:t>
      </w:r>
      <w:r>
        <w:rPr>
          <w:rStyle w:val="Strong"/>
        </w:rPr>
        <w:t>FQ</w:t>
      </w:r>
      <w:r>
        <w:t xml:space="preserve"> (</w:t>
      </w:r>
      <w:proofErr w:type="spellStart"/>
      <w:r>
        <w:t>Fanelli</w:t>
      </w:r>
      <w:proofErr w:type="spellEnd"/>
      <w:r>
        <w:t xml:space="preserve"> &amp; Di </w:t>
      </w:r>
      <w:proofErr w:type="spellStart"/>
      <w:r>
        <w:t>Nocera</w:t>
      </w:r>
      <w:proofErr w:type="spellEnd"/>
      <w:r>
        <w:t xml:space="preserve">, 2018), hygiene level, </w:t>
      </w:r>
      <w:r>
        <w:rPr>
          <w:rStyle w:val="Strong"/>
        </w:rPr>
        <w:t>PE</w:t>
      </w:r>
      <w:r>
        <w:t xml:space="preserve"> and </w:t>
      </w:r>
      <w:r>
        <w:rPr>
          <w:rStyle w:val="Strong"/>
        </w:rPr>
        <w:t>SQ</w:t>
      </w:r>
      <w:r>
        <w:t>, and atmosphere within the restaurant (</w:t>
      </w:r>
      <w:proofErr w:type="spellStart"/>
      <w:r>
        <w:t>Yüksel</w:t>
      </w:r>
      <w:proofErr w:type="spellEnd"/>
      <w:r>
        <w:t xml:space="preserve"> &amp; </w:t>
      </w:r>
      <w:proofErr w:type="spellStart"/>
      <w:r>
        <w:t>Yüksel</w:t>
      </w:r>
      <w:proofErr w:type="spellEnd"/>
      <w:r>
        <w:t xml:space="preserve">, 2003). General dining experience is an extensive </w:t>
      </w:r>
      <w:r>
        <w:rPr>
          <w:rStyle w:val="Strong"/>
        </w:rPr>
        <w:t>CL</w:t>
      </w:r>
      <w:r>
        <w:t xml:space="preserve"> measure embracing </w:t>
      </w:r>
      <w:r>
        <w:rPr>
          <w:rStyle w:val="Strong"/>
        </w:rPr>
        <w:t>FQ</w:t>
      </w:r>
      <w:r>
        <w:t xml:space="preserve"> and </w:t>
      </w:r>
      <w:r>
        <w:rPr>
          <w:rStyle w:val="Strong"/>
        </w:rPr>
        <w:t>SQ</w:t>
      </w:r>
      <w:r>
        <w:t xml:space="preserve"> (</w:t>
      </w:r>
      <w:proofErr w:type="spellStart"/>
      <w:r>
        <w:t>Alhelalat</w:t>
      </w:r>
      <w:proofErr w:type="spellEnd"/>
      <w:r>
        <w:t xml:space="preserve"> et al., 2017; Kaya, 2018). Among these, </w:t>
      </w:r>
      <w:r>
        <w:rPr>
          <w:rStyle w:val="Strong"/>
        </w:rPr>
        <w:t>SQ</w:t>
      </w:r>
      <w:r>
        <w:t xml:space="preserve"> is the leading factor impacting </w:t>
      </w:r>
      <w:r>
        <w:rPr>
          <w:rStyle w:val="Strong"/>
        </w:rPr>
        <w:t>CL</w:t>
      </w:r>
      <w:r>
        <w:t xml:space="preserve"> (</w:t>
      </w:r>
      <w:proofErr w:type="spellStart"/>
      <w:r>
        <w:t>Lőke</w:t>
      </w:r>
      <w:proofErr w:type="spellEnd"/>
      <w:r>
        <w:t xml:space="preserve"> et al., 2018) and revisit intention (</w:t>
      </w:r>
      <w:proofErr w:type="spellStart"/>
      <w:r>
        <w:t>Eren</w:t>
      </w:r>
      <w:proofErr w:type="spellEnd"/>
      <w:r>
        <w:t xml:space="preserve">, 2019). </w:t>
      </w:r>
      <w:proofErr w:type="spellStart"/>
      <w:r>
        <w:t>Mattila</w:t>
      </w:r>
      <w:proofErr w:type="spellEnd"/>
      <w:r>
        <w:t xml:space="preserve"> (2001) suggested </w:t>
      </w:r>
      <w:r>
        <w:rPr>
          <w:rStyle w:val="Strong"/>
        </w:rPr>
        <w:t>FQ</w:t>
      </w:r>
      <w:r>
        <w:t xml:space="preserve">, atmosphere, and </w:t>
      </w:r>
      <w:r>
        <w:rPr>
          <w:rStyle w:val="Strong"/>
        </w:rPr>
        <w:t>SQ</w:t>
      </w:r>
      <w:r>
        <w:t xml:space="preserve"> as essential factors affecting restaurant preference. Effective foodservice activities enhance customer attitudes towards </w:t>
      </w:r>
      <w:r>
        <w:rPr>
          <w:rStyle w:val="Strong"/>
        </w:rPr>
        <w:t>SQ</w:t>
      </w:r>
      <w:r>
        <w:t xml:space="preserve">, increasing </w:t>
      </w:r>
      <w:r>
        <w:rPr>
          <w:rStyle w:val="Strong"/>
        </w:rPr>
        <w:t>CS</w:t>
      </w:r>
      <w:r>
        <w:t xml:space="preserve"> and optimizing positive behaviors (</w:t>
      </w:r>
      <w:proofErr w:type="spellStart"/>
      <w:r>
        <w:t>Choe</w:t>
      </w:r>
      <w:proofErr w:type="spellEnd"/>
      <w:r>
        <w:t xml:space="preserve"> &amp; Kim, 2018; </w:t>
      </w:r>
      <w:proofErr w:type="spellStart"/>
      <w:r>
        <w:t>Ryu</w:t>
      </w:r>
      <w:proofErr w:type="spellEnd"/>
      <w:r>
        <w:t xml:space="preserve"> &amp; Han, 2010).</w:t>
      </w:r>
    </w:p>
    <w:p w14:paraId="4A980F4C" w14:textId="77777777" w:rsidR="00134269" w:rsidRDefault="00134269">
      <w:pPr>
        <w:pStyle w:val="NormalWeb"/>
        <w:divId w:val="1066874364"/>
      </w:pPr>
      <w:r>
        <w:rPr>
          <w:rStyle w:val="Strong"/>
        </w:rPr>
        <w:t>CS</w:t>
      </w:r>
      <w:r>
        <w:t xml:space="preserve"> is a key force behind </w:t>
      </w:r>
      <w:r>
        <w:rPr>
          <w:rStyle w:val="Strong"/>
        </w:rPr>
        <w:t>CL</w:t>
      </w:r>
      <w:r>
        <w:t xml:space="preserve"> (</w:t>
      </w:r>
      <w:proofErr w:type="spellStart"/>
      <w:r>
        <w:t>Ostrowski</w:t>
      </w:r>
      <w:proofErr w:type="spellEnd"/>
      <w:r>
        <w:t xml:space="preserve"> et al., 1993). Studies show </w:t>
      </w:r>
      <w:r>
        <w:rPr>
          <w:rStyle w:val="Strong"/>
        </w:rPr>
        <w:t>CS</w:t>
      </w:r>
      <w:r>
        <w:t xml:space="preserve"> is highly positively linked with </w:t>
      </w:r>
      <w:r>
        <w:rPr>
          <w:rStyle w:val="Strong"/>
        </w:rPr>
        <w:t>CL</w:t>
      </w:r>
      <w:r>
        <w:t xml:space="preserve">, with greater satisfaction leading to greater loyalty (Bolton &amp; Lemon, 1999; Dick &amp; </w:t>
      </w:r>
      <w:proofErr w:type="spellStart"/>
      <w:r>
        <w:t>Basu</w:t>
      </w:r>
      <w:proofErr w:type="spellEnd"/>
      <w:r>
        <w:t xml:space="preserve">, 1994). Loyalty is traditionally seen as habitual behavior governed by decision processes and experience (Jacoby &amp; </w:t>
      </w:r>
      <w:proofErr w:type="spellStart"/>
      <w:r>
        <w:t>Kyner</w:t>
      </w:r>
      <w:proofErr w:type="spellEnd"/>
      <w:r>
        <w:t>, 1973), measured through attitudinal and behavioral perspectives (Neal, 1999).</w:t>
      </w:r>
    </w:p>
    <w:p w14:paraId="468FA176" w14:textId="77777777" w:rsidR="00134269" w:rsidRDefault="00134269">
      <w:pPr>
        <w:pStyle w:val="NormalWeb"/>
        <w:divId w:val="1066874364"/>
      </w:pPr>
      <w:r>
        <w:rPr>
          <w:rStyle w:val="Strong"/>
        </w:rPr>
        <w:t>CL</w:t>
      </w:r>
      <w:r>
        <w:t xml:space="preserve"> is one of the main predictors of consumer behavior in restaurants. The theory posits that </w:t>
      </w:r>
      <w:r>
        <w:rPr>
          <w:rStyle w:val="Strong"/>
        </w:rPr>
        <w:t>FQ</w:t>
      </w:r>
      <w:r>
        <w:t xml:space="preserve">, </w:t>
      </w:r>
      <w:r>
        <w:rPr>
          <w:rStyle w:val="Strong"/>
        </w:rPr>
        <w:t>SQ</w:t>
      </w:r>
      <w:r>
        <w:t xml:space="preserve">, and </w:t>
      </w:r>
      <w:r>
        <w:rPr>
          <w:rStyle w:val="Strong"/>
        </w:rPr>
        <w:t>PE</w:t>
      </w:r>
      <w:r>
        <w:t xml:space="preserve"> influence </w:t>
      </w:r>
      <w:r>
        <w:rPr>
          <w:rStyle w:val="Strong"/>
        </w:rPr>
        <w:t>CL</w:t>
      </w:r>
      <w:r>
        <w:t xml:space="preserve"> through positive dining experiences. Loyalty leads to emotional commitment and behavioral intentions such as revisit, and engagement in </w:t>
      </w:r>
      <w:proofErr w:type="spellStart"/>
      <w:r>
        <w:rPr>
          <w:rStyle w:val="Strong"/>
        </w:rPr>
        <w:t>eWOM</w:t>
      </w:r>
      <w:proofErr w:type="spellEnd"/>
      <w:r>
        <w:t xml:space="preserve">. Enhancing </w:t>
      </w:r>
      <w:r>
        <w:rPr>
          <w:rStyle w:val="Strong"/>
        </w:rPr>
        <w:t>SQ</w:t>
      </w:r>
      <w:r>
        <w:t xml:space="preserve"> dimensions can generate long-term customer commitment and </w:t>
      </w:r>
      <w:proofErr w:type="spellStart"/>
      <w:r>
        <w:rPr>
          <w:rStyle w:val="Strong"/>
        </w:rPr>
        <w:t>eWOM</w:t>
      </w:r>
      <w:proofErr w:type="spellEnd"/>
      <w:r>
        <w:t xml:space="preserve">, building competitive advantage. Since </w:t>
      </w:r>
      <w:r>
        <w:rPr>
          <w:rStyle w:val="Strong"/>
        </w:rPr>
        <w:t>CL</w:t>
      </w:r>
      <w:r>
        <w:t xml:space="preserve"> is well studied in the food sector (Back &amp; Parks, 2003), this study focuses on Antalya restaurants to offer practical implications for improving </w:t>
      </w:r>
      <w:r>
        <w:rPr>
          <w:rStyle w:val="Strong"/>
        </w:rPr>
        <w:t>CL</w:t>
      </w:r>
      <w:r>
        <w:t xml:space="preserve"> through </w:t>
      </w:r>
      <w:r>
        <w:rPr>
          <w:rStyle w:val="Strong"/>
        </w:rPr>
        <w:t>SQ</w:t>
      </w:r>
      <w:r>
        <w:t>.</w:t>
      </w:r>
    </w:p>
    <w:p w14:paraId="0F321751" w14:textId="77777777" w:rsidR="00134269" w:rsidRDefault="00134269">
      <w:pPr>
        <w:divId w:val="106687436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0024804" wp14:editId="129173F5">
                <wp:extent cx="5943600" cy="1270"/>
                <wp:effectExtent l="0" t="31750" r="0" b="36830"/>
                <wp:docPr id="410680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5D28C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FB5440A" w14:textId="77777777" w:rsidR="00134269" w:rsidRDefault="00134269">
      <w:pPr>
        <w:pStyle w:val="Heading3"/>
        <w:divId w:val="106687436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Conceptual Framework and Hypotheses (With Abbreviated Variables)</w:t>
      </w:r>
    </w:p>
    <w:p w14:paraId="37FFDD4B" w14:textId="77777777" w:rsidR="00134269" w:rsidRDefault="00134269">
      <w:pPr>
        <w:pStyle w:val="NormalWeb"/>
        <w:divId w:val="1066874364"/>
      </w:pPr>
      <w:r>
        <w:t xml:space="preserve">The theoretical basis of this study is grounded in the relationship between </w:t>
      </w:r>
      <w:r>
        <w:rPr>
          <w:rStyle w:val="Strong"/>
        </w:rPr>
        <w:t>SQ</w:t>
      </w:r>
      <w:r>
        <w:t xml:space="preserve">, </w:t>
      </w:r>
      <w:r>
        <w:rPr>
          <w:rStyle w:val="Strong"/>
        </w:rPr>
        <w:t>CS</w:t>
      </w:r>
      <w:r>
        <w:t xml:space="preserve">, and </w:t>
      </w:r>
      <w:r>
        <w:rPr>
          <w:rStyle w:val="Strong"/>
        </w:rPr>
        <w:t>CL</w:t>
      </w:r>
      <w:r>
        <w:t xml:space="preserve"> in the restaurant context. Numerous studies show </w:t>
      </w:r>
      <w:r>
        <w:rPr>
          <w:rStyle w:val="Strong"/>
        </w:rPr>
        <w:t>SQ</w:t>
      </w:r>
      <w:r>
        <w:t xml:space="preserve"> as a prerequisite for </w:t>
      </w:r>
      <w:r>
        <w:rPr>
          <w:rStyle w:val="Strong"/>
        </w:rPr>
        <w:t>CS</w:t>
      </w:r>
      <w:r>
        <w:t xml:space="preserve">, which in turn affects </w:t>
      </w:r>
      <w:r>
        <w:rPr>
          <w:rStyle w:val="Strong"/>
        </w:rPr>
        <w:t>CL</w:t>
      </w:r>
      <w:r>
        <w:t xml:space="preserve"> (</w:t>
      </w:r>
      <w:proofErr w:type="spellStart"/>
      <w:r>
        <w:t>Ryu</w:t>
      </w:r>
      <w:proofErr w:type="spellEnd"/>
      <w:r>
        <w:t xml:space="preserve"> &amp; Han, 2010). In food services, </w:t>
      </w:r>
      <w:r>
        <w:rPr>
          <w:rStyle w:val="Strong"/>
        </w:rPr>
        <w:t>SQ</w:t>
      </w:r>
      <w:r>
        <w:t xml:space="preserve"> includes responsiveness, reliability, empathy, and assurance (</w:t>
      </w:r>
      <w:proofErr w:type="spellStart"/>
      <w:r>
        <w:t>Parasuraman</w:t>
      </w:r>
      <w:proofErr w:type="spellEnd"/>
      <w:r>
        <w:t xml:space="preserve"> et al., 1988). High-rated </w:t>
      </w:r>
      <w:r>
        <w:rPr>
          <w:rStyle w:val="Strong"/>
        </w:rPr>
        <w:t>SQ</w:t>
      </w:r>
      <w:r>
        <w:t xml:space="preserve"> leads to favorable dining experiences, improving overall </w:t>
      </w:r>
      <w:r>
        <w:rPr>
          <w:rStyle w:val="Strong"/>
        </w:rPr>
        <w:t>CS</w:t>
      </w:r>
      <w:r>
        <w:t xml:space="preserve"> (</w:t>
      </w:r>
      <w:proofErr w:type="spellStart"/>
      <w:r>
        <w:t>Choe</w:t>
      </w:r>
      <w:proofErr w:type="spellEnd"/>
      <w:r>
        <w:t xml:space="preserve"> &amp; Kim, 2018). </w:t>
      </w:r>
      <w:r>
        <w:rPr>
          <w:rStyle w:val="Strong"/>
        </w:rPr>
        <w:t>CS</w:t>
      </w:r>
      <w:r>
        <w:t>, defined by Oliver (1997), is the emotional response to product/service performance and plays a key role in shaping consumer attitude.</w:t>
      </w:r>
    </w:p>
    <w:p w14:paraId="6DD95FC8" w14:textId="77777777" w:rsidR="00134269" w:rsidRDefault="00134269">
      <w:pPr>
        <w:pStyle w:val="NormalWeb"/>
        <w:divId w:val="1066874364"/>
      </w:pPr>
      <w:r>
        <w:lastRenderedPageBreak/>
        <w:t xml:space="preserve">This model proposes </w:t>
      </w:r>
      <w:r>
        <w:rPr>
          <w:rStyle w:val="Strong"/>
        </w:rPr>
        <w:t>CS</w:t>
      </w:r>
      <w:r>
        <w:t xml:space="preserve"> as a mediating variable between </w:t>
      </w:r>
      <w:r>
        <w:rPr>
          <w:rStyle w:val="Strong"/>
        </w:rPr>
        <w:t>SQ</w:t>
      </w:r>
      <w:r>
        <w:t xml:space="preserve"> and </w:t>
      </w:r>
      <w:r>
        <w:rPr>
          <w:rStyle w:val="Strong"/>
        </w:rPr>
        <w:t>CL</w:t>
      </w:r>
      <w:r>
        <w:t xml:space="preserve">. Satisfied customers tend to form emotional bonds and show repeat behavior confirming </w:t>
      </w:r>
      <w:r>
        <w:rPr>
          <w:rStyle w:val="Strong"/>
        </w:rPr>
        <w:t>CL</w:t>
      </w:r>
      <w:r>
        <w:t xml:space="preserve"> both attitudinally and behaviorally (Dick &amp; </w:t>
      </w:r>
      <w:proofErr w:type="spellStart"/>
      <w:r>
        <w:t>Basu</w:t>
      </w:r>
      <w:proofErr w:type="spellEnd"/>
      <w:r>
        <w:t xml:space="preserve">, 1994; Neal, 1999). </w:t>
      </w:r>
      <w:r>
        <w:rPr>
          <w:rStyle w:val="Strong"/>
        </w:rPr>
        <w:t>CL</w:t>
      </w:r>
      <w:r>
        <w:t xml:space="preserve"> also promotes positive </w:t>
      </w:r>
      <w:proofErr w:type="spellStart"/>
      <w:r>
        <w:rPr>
          <w:rStyle w:val="Strong"/>
        </w:rPr>
        <w:t>eWOM</w:t>
      </w:r>
      <w:proofErr w:type="spellEnd"/>
      <w:r>
        <w:t xml:space="preserve">, enhancing brand credibility. Constructs like </w:t>
      </w:r>
      <w:r>
        <w:rPr>
          <w:rStyle w:val="Strong"/>
        </w:rPr>
        <w:t>FQ</w:t>
      </w:r>
      <w:r>
        <w:t xml:space="preserve">, </w:t>
      </w:r>
      <w:r>
        <w:rPr>
          <w:rStyle w:val="Strong"/>
        </w:rPr>
        <w:t>SQ</w:t>
      </w:r>
      <w:r>
        <w:t xml:space="preserve">, and </w:t>
      </w:r>
      <w:r>
        <w:rPr>
          <w:rStyle w:val="Strong"/>
        </w:rPr>
        <w:t>PE</w:t>
      </w:r>
      <w:r>
        <w:t xml:space="preserve"> (</w:t>
      </w:r>
      <w:proofErr w:type="spellStart"/>
      <w:r>
        <w:t>Mattila</w:t>
      </w:r>
      <w:proofErr w:type="spellEnd"/>
      <w:r>
        <w:t xml:space="preserve">, 2001; </w:t>
      </w:r>
      <w:proofErr w:type="spellStart"/>
      <w:r>
        <w:t>Yüksel</w:t>
      </w:r>
      <w:proofErr w:type="spellEnd"/>
      <w:r>
        <w:t xml:space="preserve"> &amp; </w:t>
      </w:r>
      <w:proofErr w:type="spellStart"/>
      <w:r>
        <w:t>Yüksel</w:t>
      </w:r>
      <w:proofErr w:type="spellEnd"/>
      <w:r>
        <w:t xml:space="preserve">, 2003) are key </w:t>
      </w:r>
      <w:r>
        <w:rPr>
          <w:rStyle w:val="Strong"/>
        </w:rPr>
        <w:t>CL</w:t>
      </w:r>
      <w:r>
        <w:t xml:space="preserve"> predictors via </w:t>
      </w:r>
      <w:r>
        <w:rPr>
          <w:rStyle w:val="Strong"/>
        </w:rPr>
        <w:t>CS</w:t>
      </w:r>
      <w:r>
        <w:t>. This framework compares these constructs in Antalya restaurants to identify knowledge gaps and strategies for long-term retention.</w:t>
      </w:r>
    </w:p>
    <w:p w14:paraId="473C7E2E" w14:textId="77777777" w:rsidR="00134269" w:rsidRDefault="00134269">
      <w:pPr>
        <w:pStyle w:val="NormalWeb"/>
        <w:divId w:val="1066874364"/>
      </w:pPr>
      <w:r>
        <w:rPr>
          <w:rStyle w:val="Strong"/>
        </w:rPr>
        <w:t>SQ</w:t>
      </w:r>
      <w:r>
        <w:t xml:space="preserve"> has multiple dimensions affecting customer perceptions, </w:t>
      </w:r>
      <w:r>
        <w:rPr>
          <w:rStyle w:val="Strong"/>
        </w:rPr>
        <w:t>CS</w:t>
      </w:r>
      <w:r>
        <w:t xml:space="preserve">, and ultimately </w:t>
      </w:r>
      <w:r>
        <w:rPr>
          <w:rStyle w:val="Strong"/>
        </w:rPr>
        <w:t>CL</w:t>
      </w:r>
      <w:r>
        <w:t xml:space="preserve">. This literature review examined dimensions of restaurant </w:t>
      </w:r>
      <w:r>
        <w:rPr>
          <w:rStyle w:val="Strong"/>
        </w:rPr>
        <w:t>SQ</w:t>
      </w:r>
      <w:r>
        <w:t xml:space="preserve"> and </w:t>
      </w:r>
      <w:r>
        <w:rPr>
          <w:rStyle w:val="Strong"/>
        </w:rPr>
        <w:t>CL</w:t>
      </w:r>
      <w:r>
        <w:t xml:space="preserve">. Based on prior studies, we describe how </w:t>
      </w:r>
      <w:r>
        <w:rPr>
          <w:rStyle w:val="Strong"/>
        </w:rPr>
        <w:t>FQ</w:t>
      </w:r>
      <w:r>
        <w:t xml:space="preserve">, </w:t>
      </w:r>
      <w:r>
        <w:rPr>
          <w:rStyle w:val="Strong"/>
        </w:rPr>
        <w:t>SQ</w:t>
      </w:r>
      <w:r>
        <w:t xml:space="preserve">, and </w:t>
      </w:r>
      <w:r>
        <w:rPr>
          <w:rStyle w:val="Strong"/>
        </w:rPr>
        <w:t>PE</w:t>
      </w:r>
      <w:r>
        <w:t xml:space="preserve"> shape </w:t>
      </w:r>
      <w:r>
        <w:rPr>
          <w:rStyle w:val="Strong"/>
        </w:rPr>
        <w:t>CS</w:t>
      </w:r>
      <w:r>
        <w:t xml:space="preserve"> and </w:t>
      </w:r>
      <w:r>
        <w:rPr>
          <w:rStyle w:val="Strong"/>
        </w:rPr>
        <w:t>CL</w:t>
      </w:r>
      <w:r>
        <w:t>. Comparative literature highlights differences across cultures and geographies in how these variables interact.</w:t>
      </w:r>
    </w:p>
    <w:p w14:paraId="76C19495" w14:textId="77777777" w:rsidR="00134269" w:rsidRDefault="00134269">
      <w:pPr>
        <w:divId w:val="106687436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11A41D0" wp14:editId="175BB12A">
                <wp:extent cx="5943600" cy="1270"/>
                <wp:effectExtent l="0" t="31750" r="0" b="36830"/>
                <wp:docPr id="16732361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BF83E7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7B6E0B37" w14:textId="77777777" w:rsidR="00134269" w:rsidRDefault="00134269">
      <w:pPr>
        <w:pStyle w:val="Heading3"/>
        <w:divId w:val="106687436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2.1 Food Quality (FQ)</w:t>
      </w:r>
    </w:p>
    <w:p w14:paraId="47B13D2F" w14:textId="77777777" w:rsidR="00134269" w:rsidRDefault="00134269">
      <w:pPr>
        <w:pStyle w:val="NormalWeb"/>
        <w:divId w:val="1066874364"/>
      </w:pPr>
      <w:r>
        <w:rPr>
          <w:rStyle w:val="Strong"/>
        </w:rPr>
        <w:t>FQ</w:t>
      </w:r>
      <w:r>
        <w:t xml:space="preserve"> plays a crucial role in fostering </w:t>
      </w:r>
      <w:r>
        <w:rPr>
          <w:rStyle w:val="Strong"/>
        </w:rPr>
        <w:t>CL</w:t>
      </w:r>
      <w:r>
        <w:t xml:space="preserve">, as it strongly influences </w:t>
      </w:r>
      <w:r>
        <w:rPr>
          <w:rStyle w:val="Strong"/>
        </w:rPr>
        <w:t>CS</w:t>
      </w:r>
      <w:r>
        <w:t xml:space="preserve"> and the likelihood of repeat visits. Consistently high </w:t>
      </w:r>
      <w:r>
        <w:rPr>
          <w:rStyle w:val="Strong"/>
        </w:rPr>
        <w:t>FQ</w:t>
      </w:r>
      <w:r>
        <w:t xml:space="preserve"> generates positive interactions that build trust. </w:t>
      </w:r>
      <w:proofErr w:type="spellStart"/>
      <w:r>
        <w:t>Tuncer</w:t>
      </w:r>
      <w:proofErr w:type="spellEnd"/>
      <w:r>
        <w:t xml:space="preserve"> et al. (2021) found that most </w:t>
      </w:r>
      <w:r>
        <w:rPr>
          <w:rStyle w:val="Strong"/>
        </w:rPr>
        <w:t>FQ</w:t>
      </w:r>
      <w:r>
        <w:t xml:space="preserve"> aspects significantly affect </w:t>
      </w:r>
      <w:r>
        <w:rPr>
          <w:rStyle w:val="Strong"/>
        </w:rPr>
        <w:t>CS</w:t>
      </w:r>
      <w:r>
        <w:t xml:space="preserve">, and both </w:t>
      </w:r>
      <w:r>
        <w:rPr>
          <w:rStyle w:val="Strong"/>
        </w:rPr>
        <w:t>CS</w:t>
      </w:r>
      <w:r>
        <w:t xml:space="preserve"> and perceived value influence behavioral intentions. </w:t>
      </w:r>
      <w:proofErr w:type="spellStart"/>
      <w:r>
        <w:t>Solunoğlu</w:t>
      </w:r>
      <w:proofErr w:type="spellEnd"/>
      <w:r>
        <w:t xml:space="preserve"> (2020) confirmed the mediating role of </w:t>
      </w:r>
      <w:r>
        <w:rPr>
          <w:rStyle w:val="Strong"/>
        </w:rPr>
        <w:t>CS</w:t>
      </w:r>
      <w:r>
        <w:t xml:space="preserve"> between </w:t>
      </w:r>
      <w:r>
        <w:rPr>
          <w:rStyle w:val="Strong"/>
        </w:rPr>
        <w:t>FQ</w:t>
      </w:r>
      <w:r>
        <w:t xml:space="preserve"> and recommendation intention.</w:t>
      </w:r>
    </w:p>
    <w:p w14:paraId="758505D1" w14:textId="77777777" w:rsidR="00134269" w:rsidRDefault="00134269">
      <w:pPr>
        <w:pStyle w:val="NormalWeb"/>
        <w:divId w:val="1066874364"/>
      </w:pPr>
      <w:r>
        <w:rPr>
          <w:rStyle w:val="Strong"/>
        </w:rPr>
        <w:t>H1</w:t>
      </w:r>
      <w:r>
        <w:t xml:space="preserve">: </w:t>
      </w:r>
      <w:r>
        <w:rPr>
          <w:rStyle w:val="Strong"/>
        </w:rPr>
        <w:t>FQ</w:t>
      </w:r>
      <w:r>
        <w:t xml:space="preserve"> has a positive and significant effect on </w:t>
      </w:r>
      <w:r>
        <w:rPr>
          <w:rStyle w:val="Strong"/>
        </w:rPr>
        <w:t>CS</w:t>
      </w:r>
      <w:r>
        <w:t xml:space="preserve"> in restaurants.</w:t>
      </w:r>
    </w:p>
    <w:p w14:paraId="0B3D29A7" w14:textId="77777777" w:rsidR="00134269" w:rsidRDefault="00134269">
      <w:pPr>
        <w:divId w:val="106687436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3A8619D" wp14:editId="5DB59734">
                <wp:extent cx="5943600" cy="1270"/>
                <wp:effectExtent l="0" t="31750" r="0" b="36830"/>
                <wp:docPr id="18017635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294C2B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4738F69" w14:textId="77777777" w:rsidR="00134269" w:rsidRDefault="00134269">
      <w:pPr>
        <w:pStyle w:val="Heading3"/>
        <w:divId w:val="106687436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2.2 Service Quality (SQ)</w:t>
      </w:r>
    </w:p>
    <w:p w14:paraId="20517B46" w14:textId="77777777" w:rsidR="00134269" w:rsidRDefault="00134269">
      <w:pPr>
        <w:pStyle w:val="NormalWeb"/>
        <w:divId w:val="1066874364"/>
      </w:pPr>
      <w:r>
        <w:rPr>
          <w:rStyle w:val="Strong"/>
        </w:rPr>
        <w:t>SQ</w:t>
      </w:r>
      <w:r>
        <w:t xml:space="preserve"> refers to how well employee actions meet customer expectations, including reliability, responsiveness, and empathy. High </w:t>
      </w:r>
      <w:r>
        <w:rPr>
          <w:rStyle w:val="Strong"/>
        </w:rPr>
        <w:t>SQ</w:t>
      </w:r>
      <w:r>
        <w:t xml:space="preserve"> builds trust and </w:t>
      </w:r>
      <w:r>
        <w:rPr>
          <w:rStyle w:val="Strong"/>
        </w:rPr>
        <w:t>CS</w:t>
      </w:r>
      <w:r>
        <w:t xml:space="preserve">, encouraging long-term </w:t>
      </w:r>
      <w:r>
        <w:rPr>
          <w:rStyle w:val="Strong"/>
        </w:rPr>
        <w:t>CL</w:t>
      </w:r>
      <w:r>
        <w:t xml:space="preserve"> (</w:t>
      </w:r>
      <w:proofErr w:type="spellStart"/>
      <w:r>
        <w:t>Alhelalat</w:t>
      </w:r>
      <w:proofErr w:type="spellEnd"/>
      <w:r>
        <w:t xml:space="preserve"> et al., 2017). Safari et al. (2024) found that </w:t>
      </w:r>
      <w:r>
        <w:rPr>
          <w:rStyle w:val="Strong"/>
        </w:rPr>
        <w:t>SQ</w:t>
      </w:r>
      <w:r>
        <w:t xml:space="preserve"> mediates </w:t>
      </w:r>
      <w:r>
        <w:rPr>
          <w:rStyle w:val="Strong"/>
        </w:rPr>
        <w:t>CS</w:t>
      </w:r>
      <w:r>
        <w:t xml:space="preserve"> and influences behavioral intentions.</w:t>
      </w:r>
    </w:p>
    <w:p w14:paraId="70F2F4E2" w14:textId="77777777" w:rsidR="00134269" w:rsidRDefault="00134269">
      <w:pPr>
        <w:pStyle w:val="NormalWeb"/>
        <w:divId w:val="1066874364"/>
      </w:pPr>
      <w:r>
        <w:rPr>
          <w:rStyle w:val="Strong"/>
        </w:rPr>
        <w:t>H2</w:t>
      </w:r>
      <w:r>
        <w:t xml:space="preserve">: </w:t>
      </w:r>
      <w:r>
        <w:rPr>
          <w:rStyle w:val="Strong"/>
        </w:rPr>
        <w:t>SQ</w:t>
      </w:r>
      <w:r>
        <w:t xml:space="preserve"> has a significant positive effect on </w:t>
      </w:r>
      <w:r>
        <w:rPr>
          <w:rStyle w:val="Strong"/>
        </w:rPr>
        <w:t>CL</w:t>
      </w:r>
      <w:r>
        <w:t xml:space="preserve"> in restaurants.</w:t>
      </w:r>
    </w:p>
    <w:p w14:paraId="33A974BE" w14:textId="77777777" w:rsidR="00134269" w:rsidRDefault="00134269">
      <w:pPr>
        <w:divId w:val="106687436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A76978F" wp14:editId="52A1117B">
                <wp:extent cx="5943600" cy="1270"/>
                <wp:effectExtent l="0" t="31750" r="0" b="36830"/>
                <wp:docPr id="2457294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AE3F5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6F0736B" w14:textId="77777777" w:rsidR="00134269" w:rsidRDefault="00134269">
      <w:pPr>
        <w:pStyle w:val="Heading3"/>
        <w:divId w:val="106687436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2.3 Physical Environment (PE)</w:t>
      </w:r>
    </w:p>
    <w:p w14:paraId="518893E8" w14:textId="77777777" w:rsidR="00134269" w:rsidRDefault="00134269">
      <w:pPr>
        <w:pStyle w:val="NormalWeb"/>
        <w:divId w:val="1066874364"/>
      </w:pPr>
      <w:r>
        <w:rPr>
          <w:rStyle w:val="Strong"/>
        </w:rPr>
        <w:t>PE</w:t>
      </w:r>
      <w:r>
        <w:t xml:space="preserve"> refers to sensory and material elements shaping the customer experience. Cleanliness and ambiance affect </w:t>
      </w:r>
      <w:r>
        <w:rPr>
          <w:rStyle w:val="Strong"/>
        </w:rPr>
        <w:t>CS</w:t>
      </w:r>
      <w:r>
        <w:t xml:space="preserve">, which enhances </w:t>
      </w:r>
      <w:r>
        <w:rPr>
          <w:rStyle w:val="Strong"/>
        </w:rPr>
        <w:t>CL</w:t>
      </w:r>
      <w:r>
        <w:t xml:space="preserve"> (</w:t>
      </w:r>
      <w:proofErr w:type="spellStart"/>
      <w:r>
        <w:t>Kayumov</w:t>
      </w:r>
      <w:proofErr w:type="spellEnd"/>
      <w:r>
        <w:t xml:space="preserve"> et al., 2024; </w:t>
      </w:r>
      <w:proofErr w:type="spellStart"/>
      <w:r>
        <w:t>Idrus</w:t>
      </w:r>
      <w:proofErr w:type="spellEnd"/>
      <w:r>
        <w:t xml:space="preserve"> et al., 2023). These effects are amplified in health-sensitive contexts such as the COVID-19 pandemic.</w:t>
      </w:r>
    </w:p>
    <w:p w14:paraId="7F9F026B" w14:textId="77777777" w:rsidR="00134269" w:rsidRDefault="00134269">
      <w:pPr>
        <w:pStyle w:val="NormalWeb"/>
        <w:divId w:val="1066874364"/>
      </w:pPr>
      <w:r>
        <w:rPr>
          <w:rStyle w:val="Strong"/>
        </w:rPr>
        <w:t>H3</w:t>
      </w:r>
      <w:r>
        <w:t xml:space="preserve">: </w:t>
      </w:r>
      <w:r>
        <w:rPr>
          <w:rStyle w:val="Strong"/>
        </w:rPr>
        <w:t>PE</w:t>
      </w:r>
      <w:r>
        <w:t xml:space="preserve"> has positive effects on </w:t>
      </w:r>
      <w:r>
        <w:rPr>
          <w:rStyle w:val="Strong"/>
        </w:rPr>
        <w:t>CL</w:t>
      </w:r>
      <w:r>
        <w:t>.</w:t>
      </w:r>
    </w:p>
    <w:p w14:paraId="122CCC98" w14:textId="77777777" w:rsidR="00134269" w:rsidRDefault="00134269">
      <w:pPr>
        <w:divId w:val="106687436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8286EEF" wp14:editId="123472BC">
                <wp:extent cx="5943600" cy="1270"/>
                <wp:effectExtent l="0" t="31750" r="0" b="36830"/>
                <wp:docPr id="8203372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5E4EA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BB19126" w14:textId="77777777" w:rsidR="00134269" w:rsidRDefault="00134269">
      <w:pPr>
        <w:pStyle w:val="Heading3"/>
        <w:divId w:val="106687436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lastRenderedPageBreak/>
        <w:t>2.4 Customer Loyalty (CL)</w:t>
      </w:r>
    </w:p>
    <w:p w14:paraId="461A45E8" w14:textId="77777777" w:rsidR="00134269" w:rsidRDefault="00134269">
      <w:pPr>
        <w:pStyle w:val="NormalWeb"/>
        <w:divId w:val="1066874364"/>
      </w:pPr>
      <w:r>
        <w:rPr>
          <w:rStyle w:val="Strong"/>
        </w:rPr>
        <w:t>CL</w:t>
      </w:r>
      <w:r>
        <w:t xml:space="preserve"> is demonstrated by repeat visits and positive </w:t>
      </w:r>
      <w:proofErr w:type="spellStart"/>
      <w:r>
        <w:rPr>
          <w:rStyle w:val="Strong"/>
        </w:rPr>
        <w:t>eWOM</w:t>
      </w:r>
      <w:proofErr w:type="spellEnd"/>
      <w:r>
        <w:t>. It goes beyond purchase to emotional commitment (</w:t>
      </w:r>
      <w:proofErr w:type="spellStart"/>
      <w:r>
        <w:t>TaghiPourian</w:t>
      </w:r>
      <w:proofErr w:type="spellEnd"/>
      <w:r>
        <w:t xml:space="preserve"> &amp; Bakhsh, 2015). </w:t>
      </w:r>
      <w:r>
        <w:rPr>
          <w:rStyle w:val="Strong"/>
        </w:rPr>
        <w:t>CL</w:t>
      </w:r>
      <w:r>
        <w:t xml:space="preserve"> is influenced by </w:t>
      </w:r>
      <w:r>
        <w:rPr>
          <w:rStyle w:val="Strong"/>
        </w:rPr>
        <w:t>SQ</w:t>
      </w:r>
      <w:r>
        <w:t xml:space="preserve">, </w:t>
      </w:r>
      <w:r>
        <w:rPr>
          <w:rStyle w:val="Strong"/>
        </w:rPr>
        <w:t>CS</w:t>
      </w:r>
      <w:r>
        <w:t>, and memorable experiences (</w:t>
      </w:r>
      <w:proofErr w:type="spellStart"/>
      <w:r>
        <w:t>Brida</w:t>
      </w:r>
      <w:proofErr w:type="spellEnd"/>
      <w:r>
        <w:t xml:space="preserve"> &amp; </w:t>
      </w:r>
      <w:proofErr w:type="spellStart"/>
      <w:r>
        <w:t>Coletti</w:t>
      </w:r>
      <w:proofErr w:type="spellEnd"/>
      <w:r>
        <w:t xml:space="preserve">, 2012). Online satisfaction and trust also predict </w:t>
      </w:r>
      <w:r>
        <w:rPr>
          <w:rStyle w:val="Strong"/>
        </w:rPr>
        <w:t>CL</w:t>
      </w:r>
      <w:r>
        <w:t xml:space="preserve"> and </w:t>
      </w:r>
      <w:proofErr w:type="spellStart"/>
      <w:r>
        <w:rPr>
          <w:rStyle w:val="Strong"/>
        </w:rPr>
        <w:t>eWOM</w:t>
      </w:r>
      <w:proofErr w:type="spellEnd"/>
      <w:r>
        <w:t xml:space="preserve"> (Al-</w:t>
      </w:r>
      <w:proofErr w:type="spellStart"/>
      <w:r>
        <w:t>Adwan</w:t>
      </w:r>
      <w:proofErr w:type="spellEnd"/>
      <w:r>
        <w:t xml:space="preserve"> et al., 2020; Al-</w:t>
      </w:r>
      <w:proofErr w:type="spellStart"/>
      <w:r>
        <w:t>Zyoud</w:t>
      </w:r>
      <w:proofErr w:type="spellEnd"/>
      <w:r>
        <w:t>, 2021).</w:t>
      </w:r>
    </w:p>
    <w:p w14:paraId="78F8ACB8" w14:textId="77777777" w:rsidR="00134269" w:rsidRDefault="00134269">
      <w:pPr>
        <w:pStyle w:val="NormalWeb"/>
        <w:divId w:val="1066874364"/>
      </w:pPr>
      <w:r>
        <w:rPr>
          <w:rStyle w:val="Strong"/>
        </w:rPr>
        <w:t>H4</w:t>
      </w:r>
      <w:r>
        <w:t xml:space="preserve">: </w:t>
      </w:r>
      <w:r>
        <w:rPr>
          <w:rStyle w:val="Strong"/>
        </w:rPr>
        <w:t>CL</w:t>
      </w:r>
      <w:r>
        <w:t xml:space="preserve"> has a significant positive effect on repurchase intention.</w:t>
      </w:r>
      <w:r>
        <w:br/>
      </w:r>
      <w:r>
        <w:rPr>
          <w:rStyle w:val="Strong"/>
        </w:rPr>
        <w:t>H5</w:t>
      </w:r>
      <w:r>
        <w:t xml:space="preserve">: </w:t>
      </w:r>
      <w:r>
        <w:rPr>
          <w:rStyle w:val="Strong"/>
        </w:rPr>
        <w:t>CL</w:t>
      </w:r>
      <w:r>
        <w:t xml:space="preserve"> has a positive effect on </w:t>
      </w:r>
      <w:proofErr w:type="spellStart"/>
      <w:r>
        <w:rPr>
          <w:rStyle w:val="Strong"/>
        </w:rPr>
        <w:t>eWOM</w:t>
      </w:r>
      <w:proofErr w:type="spellEnd"/>
      <w:r>
        <w:t xml:space="preserve"> behavior.</w:t>
      </w:r>
    </w:p>
    <w:p w14:paraId="77070E12" w14:textId="77777777" w:rsidR="00134269" w:rsidRDefault="00134269">
      <w:pPr>
        <w:divId w:val="106687436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1225AB6" wp14:editId="1DFEA560">
                <wp:extent cx="5943600" cy="1270"/>
                <wp:effectExtent l="0" t="31750" r="0" b="36830"/>
                <wp:docPr id="2204078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BA0CF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64B3B2B6" w14:textId="34A5B78D" w:rsidR="00134269" w:rsidRDefault="00134269">
      <w:pPr>
        <w:pStyle w:val="Heading3"/>
        <w:divId w:val="106687436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 xml:space="preserve">Literature Review Table Summary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2835"/>
        <w:gridCol w:w="4056"/>
        <w:gridCol w:w="1881"/>
      </w:tblGrid>
      <w:tr w:rsidR="00134269" w14:paraId="2F8F35A7" w14:textId="77777777">
        <w:trPr>
          <w:divId w:val="99857511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DBD8CA" w14:textId="77777777" w:rsidR="00134269" w:rsidRDefault="00134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7918B411" w14:textId="77777777" w:rsidR="00134269" w:rsidRDefault="00134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Focus</w:t>
            </w:r>
          </w:p>
        </w:tc>
        <w:tc>
          <w:tcPr>
            <w:tcW w:w="0" w:type="auto"/>
            <w:vAlign w:val="center"/>
            <w:hideMark/>
          </w:tcPr>
          <w:p w14:paraId="43C0E597" w14:textId="77777777" w:rsidR="00134269" w:rsidRDefault="00134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Findings</w:t>
            </w:r>
          </w:p>
        </w:tc>
        <w:tc>
          <w:tcPr>
            <w:tcW w:w="0" w:type="auto"/>
            <w:vAlign w:val="center"/>
            <w:hideMark/>
          </w:tcPr>
          <w:p w14:paraId="5A349D9B" w14:textId="77777777" w:rsidR="00134269" w:rsidRDefault="00134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Authors</w:t>
            </w:r>
          </w:p>
        </w:tc>
      </w:tr>
      <w:tr w:rsidR="00134269" w14:paraId="6EB54F97" w14:textId="77777777">
        <w:trPr>
          <w:divId w:val="998575119"/>
          <w:tblCellSpacing w:w="15" w:type="dxa"/>
        </w:trPr>
        <w:tc>
          <w:tcPr>
            <w:tcW w:w="0" w:type="auto"/>
            <w:vAlign w:val="center"/>
            <w:hideMark/>
          </w:tcPr>
          <w:p w14:paraId="240A0230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2F02BFF5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Role of </w:t>
            </w:r>
            <w:r>
              <w:rPr>
                <w:rStyle w:val="Strong"/>
                <w:rFonts w:eastAsia="Times New Roman"/>
              </w:rPr>
              <w:t>FQ</w:t>
            </w:r>
            <w:r>
              <w:rPr>
                <w:rFonts w:eastAsia="Times New Roman"/>
              </w:rPr>
              <w:t xml:space="preserve"> in </w:t>
            </w:r>
            <w:r>
              <w:rPr>
                <w:rStyle w:val="Strong"/>
                <w:rFonts w:eastAsia="Times New Roman"/>
              </w:rPr>
              <w:t>CS</w:t>
            </w:r>
          </w:p>
        </w:tc>
        <w:tc>
          <w:tcPr>
            <w:tcW w:w="0" w:type="auto"/>
            <w:vAlign w:val="center"/>
            <w:hideMark/>
          </w:tcPr>
          <w:p w14:paraId="178AEFA6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Atmosphere and </w:t>
            </w:r>
            <w:r>
              <w:rPr>
                <w:rStyle w:val="Strong"/>
                <w:rFonts w:eastAsia="Times New Roman"/>
              </w:rPr>
              <w:t>SQ</w:t>
            </w:r>
            <w:r>
              <w:rPr>
                <w:rFonts w:eastAsia="Times New Roman"/>
              </w:rPr>
              <w:t xml:space="preserve"> affect </w:t>
            </w:r>
            <w:r>
              <w:rPr>
                <w:rStyle w:val="Strong"/>
                <w:rFonts w:eastAsia="Times New Roman"/>
              </w:rPr>
              <w:t>CS</w:t>
            </w:r>
          </w:p>
        </w:tc>
        <w:tc>
          <w:tcPr>
            <w:tcW w:w="0" w:type="auto"/>
            <w:vAlign w:val="center"/>
            <w:hideMark/>
          </w:tcPr>
          <w:p w14:paraId="48187E62" w14:textId="77777777" w:rsidR="00134269" w:rsidRDefault="001342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Fanelli</w:t>
            </w:r>
            <w:proofErr w:type="spellEnd"/>
            <w:r>
              <w:rPr>
                <w:rFonts w:eastAsia="Times New Roman"/>
              </w:rPr>
              <w:t xml:space="preserve"> &amp; Di </w:t>
            </w:r>
            <w:proofErr w:type="spellStart"/>
            <w:r>
              <w:rPr>
                <w:rFonts w:eastAsia="Times New Roman"/>
              </w:rPr>
              <w:t>Nocera</w:t>
            </w:r>
            <w:proofErr w:type="spellEnd"/>
          </w:p>
        </w:tc>
      </w:tr>
      <w:tr w:rsidR="00134269" w14:paraId="42280282" w14:textId="77777777">
        <w:trPr>
          <w:divId w:val="998575119"/>
          <w:tblCellSpacing w:w="15" w:type="dxa"/>
        </w:trPr>
        <w:tc>
          <w:tcPr>
            <w:tcW w:w="0" w:type="auto"/>
            <w:vAlign w:val="center"/>
            <w:hideMark/>
          </w:tcPr>
          <w:p w14:paraId="3CBB3377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74B22D60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CSR → Brand Attitude, </w:t>
            </w:r>
            <w:r>
              <w:rPr>
                <w:rStyle w:val="Strong"/>
                <w:rFonts w:eastAsia="Times New Roman"/>
              </w:rPr>
              <w:t>SQ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Strong"/>
                <w:rFonts w:eastAsia="Times New Roman"/>
              </w:rPr>
              <w:t>CS</w:t>
            </w:r>
          </w:p>
        </w:tc>
        <w:tc>
          <w:tcPr>
            <w:tcW w:w="0" w:type="auto"/>
            <w:vAlign w:val="center"/>
            <w:hideMark/>
          </w:tcPr>
          <w:p w14:paraId="7283B136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CSR improves brand attitude, </w:t>
            </w:r>
            <w:r>
              <w:rPr>
                <w:rStyle w:val="Strong"/>
                <w:rFonts w:eastAsia="Times New Roman"/>
              </w:rPr>
              <w:t>SQ</w:t>
            </w:r>
            <w:r>
              <w:rPr>
                <w:rFonts w:eastAsia="Times New Roman"/>
              </w:rPr>
              <w:t xml:space="preserve">, and </w:t>
            </w:r>
            <w:r>
              <w:rPr>
                <w:rStyle w:val="Strong"/>
                <w:rFonts w:eastAsia="Times New Roman"/>
              </w:rPr>
              <w:t>CS</w:t>
            </w:r>
          </w:p>
        </w:tc>
        <w:tc>
          <w:tcPr>
            <w:tcW w:w="0" w:type="auto"/>
            <w:vAlign w:val="center"/>
            <w:hideMark/>
          </w:tcPr>
          <w:p w14:paraId="41324FB1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Lee et al.</w:t>
            </w:r>
          </w:p>
        </w:tc>
      </w:tr>
      <w:tr w:rsidR="00134269" w14:paraId="684E181A" w14:textId="77777777">
        <w:trPr>
          <w:divId w:val="998575119"/>
          <w:tblCellSpacing w:w="15" w:type="dxa"/>
        </w:trPr>
        <w:tc>
          <w:tcPr>
            <w:tcW w:w="0" w:type="auto"/>
            <w:vAlign w:val="center"/>
            <w:hideMark/>
          </w:tcPr>
          <w:p w14:paraId="13F4FA77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14:paraId="3839546A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Dimensions of </w:t>
            </w:r>
            <w:r>
              <w:rPr>
                <w:rStyle w:val="Strong"/>
                <w:rFonts w:eastAsia="Times New Roman"/>
              </w:rPr>
              <w:t>SQ</w:t>
            </w:r>
          </w:p>
        </w:tc>
        <w:tc>
          <w:tcPr>
            <w:tcW w:w="0" w:type="auto"/>
            <w:vAlign w:val="center"/>
            <w:hideMark/>
          </w:tcPr>
          <w:p w14:paraId="0A682E4B" w14:textId="77777777" w:rsidR="00134269" w:rsidRDefault="0013426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SQ</w:t>
            </w:r>
            <w:r>
              <w:rPr>
                <w:rFonts w:eastAsia="Times New Roman"/>
              </w:rPr>
              <w:t xml:space="preserve"> mediates behavioral intentions and </w:t>
            </w:r>
            <w:r>
              <w:rPr>
                <w:rStyle w:val="Strong"/>
                <w:rFonts w:eastAsia="Times New Roman"/>
              </w:rPr>
              <w:t>CS</w:t>
            </w:r>
          </w:p>
        </w:tc>
        <w:tc>
          <w:tcPr>
            <w:tcW w:w="0" w:type="auto"/>
            <w:vAlign w:val="center"/>
            <w:hideMark/>
          </w:tcPr>
          <w:p w14:paraId="59C4A72C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Safari et al.</w:t>
            </w:r>
          </w:p>
        </w:tc>
      </w:tr>
      <w:tr w:rsidR="00134269" w14:paraId="2417213E" w14:textId="77777777">
        <w:trPr>
          <w:divId w:val="998575119"/>
          <w:tblCellSpacing w:w="15" w:type="dxa"/>
        </w:trPr>
        <w:tc>
          <w:tcPr>
            <w:tcW w:w="0" w:type="auto"/>
            <w:vAlign w:val="center"/>
            <w:hideMark/>
          </w:tcPr>
          <w:p w14:paraId="16FF8479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6389E66E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Factors in repeat business</w:t>
            </w:r>
          </w:p>
        </w:tc>
        <w:tc>
          <w:tcPr>
            <w:tcW w:w="0" w:type="auto"/>
            <w:vAlign w:val="center"/>
            <w:hideMark/>
          </w:tcPr>
          <w:p w14:paraId="3C59E6F3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Low repeat rate linked to poor </w:t>
            </w:r>
            <w:r>
              <w:rPr>
                <w:rStyle w:val="Strong"/>
                <w:rFonts w:eastAsia="Times New Roman"/>
              </w:rPr>
              <w:t>SQ</w:t>
            </w:r>
          </w:p>
        </w:tc>
        <w:tc>
          <w:tcPr>
            <w:tcW w:w="0" w:type="auto"/>
            <w:vAlign w:val="center"/>
            <w:hideMark/>
          </w:tcPr>
          <w:p w14:paraId="5FFDBBB6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Riva et al.</w:t>
            </w:r>
          </w:p>
        </w:tc>
      </w:tr>
      <w:tr w:rsidR="00134269" w14:paraId="16AE7EFF" w14:textId="77777777">
        <w:trPr>
          <w:divId w:val="998575119"/>
          <w:tblCellSpacing w:w="15" w:type="dxa"/>
        </w:trPr>
        <w:tc>
          <w:tcPr>
            <w:tcW w:w="0" w:type="auto"/>
            <w:vAlign w:val="center"/>
            <w:hideMark/>
          </w:tcPr>
          <w:p w14:paraId="2662FF1F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14:paraId="3EE2198F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Service attributes and </w:t>
            </w:r>
            <w:r>
              <w:rPr>
                <w:rStyle w:val="Strong"/>
                <w:rFonts w:eastAsia="Times New Roman"/>
              </w:rPr>
              <w:t>CL</w:t>
            </w:r>
          </w:p>
        </w:tc>
        <w:tc>
          <w:tcPr>
            <w:tcW w:w="0" w:type="auto"/>
            <w:vAlign w:val="center"/>
            <w:hideMark/>
          </w:tcPr>
          <w:p w14:paraId="02FB5FDD" w14:textId="77777777" w:rsidR="00134269" w:rsidRDefault="00134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Hygiene, ambiance, pricing linked to </w:t>
            </w:r>
            <w:r>
              <w:rPr>
                <w:rStyle w:val="Strong"/>
                <w:rFonts w:eastAsia="Times New Roman"/>
              </w:rPr>
              <w:t>CS</w:t>
            </w:r>
            <w:r>
              <w:rPr>
                <w:rFonts w:eastAsia="Times New Roman"/>
              </w:rPr>
              <w:t>/</w:t>
            </w:r>
            <w:r>
              <w:rPr>
                <w:rStyle w:val="Strong"/>
                <w:rFonts w:eastAsia="Times New Roman"/>
              </w:rPr>
              <w:t>CL</w:t>
            </w:r>
          </w:p>
        </w:tc>
        <w:tc>
          <w:tcPr>
            <w:tcW w:w="0" w:type="auto"/>
            <w:vAlign w:val="center"/>
            <w:hideMark/>
          </w:tcPr>
          <w:p w14:paraId="00995DC2" w14:textId="77777777" w:rsidR="00134269" w:rsidRDefault="001342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Riyadi</w:t>
            </w:r>
            <w:proofErr w:type="spellEnd"/>
            <w:r>
              <w:rPr>
                <w:rFonts w:eastAsia="Times New Roman"/>
              </w:rPr>
              <w:t xml:space="preserve"> et al.</w:t>
            </w:r>
          </w:p>
        </w:tc>
      </w:tr>
    </w:tbl>
    <w:p w14:paraId="3F4ACADB" w14:textId="77777777" w:rsidR="00134269" w:rsidRDefault="00134269">
      <w:pPr>
        <w:divId w:val="106687436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D1B22A0" wp14:editId="250C35CC">
                <wp:extent cx="5943600" cy="1270"/>
                <wp:effectExtent l="0" t="31750" r="0" b="36830"/>
                <wp:docPr id="9163565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7ED042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3355128D" w14:textId="77777777" w:rsidR="00134269" w:rsidRDefault="00134269">
      <w:pPr>
        <w:pStyle w:val="Heading3"/>
        <w:divId w:val="106687436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Conclusion and Implications</w:t>
      </w:r>
    </w:p>
    <w:p w14:paraId="61B572DA" w14:textId="77777777" w:rsidR="00134269" w:rsidRDefault="00134269">
      <w:pPr>
        <w:pStyle w:val="NormalWeb"/>
        <w:divId w:val="1066874364"/>
      </w:pPr>
      <w:r>
        <w:t xml:space="preserve">This study proposes that </w:t>
      </w:r>
      <w:r>
        <w:rPr>
          <w:rStyle w:val="Strong"/>
        </w:rPr>
        <w:t>FQ</w:t>
      </w:r>
      <w:r>
        <w:t xml:space="preserve">, </w:t>
      </w:r>
      <w:r>
        <w:rPr>
          <w:rStyle w:val="Strong"/>
        </w:rPr>
        <w:t>SQ</w:t>
      </w:r>
      <w:r>
        <w:t xml:space="preserve">, and </w:t>
      </w:r>
      <w:r>
        <w:rPr>
          <w:rStyle w:val="Strong"/>
        </w:rPr>
        <w:t>PE</w:t>
      </w:r>
      <w:r>
        <w:t xml:space="preserve"> significantly influence </w:t>
      </w:r>
      <w:r>
        <w:rPr>
          <w:rStyle w:val="Strong"/>
        </w:rPr>
        <w:t>CL</w:t>
      </w:r>
      <w:r>
        <w:t xml:space="preserve"> through </w:t>
      </w:r>
      <w:r>
        <w:rPr>
          <w:rStyle w:val="Strong"/>
        </w:rPr>
        <w:t>CS</w:t>
      </w:r>
      <w:r>
        <w:t xml:space="preserve">. The loyalty built through high service standards can lead to stronger customer retention and positive </w:t>
      </w:r>
      <w:proofErr w:type="spellStart"/>
      <w:r>
        <w:rPr>
          <w:rStyle w:val="Strong"/>
        </w:rPr>
        <w:t>eWOM</w:t>
      </w:r>
      <w:proofErr w:type="spellEnd"/>
      <w:r>
        <w:t>, providing competitive advantage. For restaurant managers, investing in these service dimensions can enhance customer experience and secure long-term success in tourism-driven locations such as Antalya.</w:t>
      </w:r>
    </w:p>
    <w:p w14:paraId="090407EA" w14:textId="77777777" w:rsidR="00134269" w:rsidRDefault="00134269">
      <w:pPr>
        <w:pStyle w:val="NormalWeb"/>
        <w:divId w:val="1066874364"/>
      </w:pPr>
      <w:r>
        <w:t xml:space="preserve">Future studies should also examine how technological innovations, like QR code menus or mobile ordering, moderate the relationship between </w:t>
      </w:r>
      <w:r>
        <w:rPr>
          <w:rStyle w:val="Strong"/>
        </w:rPr>
        <w:t>SQ</w:t>
      </w:r>
      <w:r>
        <w:t xml:space="preserve"> and </w:t>
      </w:r>
      <w:r>
        <w:rPr>
          <w:rStyle w:val="Strong"/>
        </w:rPr>
        <w:t>CL</w:t>
      </w:r>
      <w:r>
        <w:t>.</w:t>
      </w:r>
    </w:p>
    <w:p w14:paraId="7AB05300" w14:textId="77777777" w:rsidR="00134269" w:rsidRDefault="00134269">
      <w:pPr>
        <w:divId w:val="106687436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07890EC" wp14:editId="0C5CA852">
                <wp:extent cx="5943600" cy="1270"/>
                <wp:effectExtent l="0" t="31750" r="0" b="36830"/>
                <wp:docPr id="409340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26DB3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96D33A4" w14:textId="77777777" w:rsidR="00134269" w:rsidRDefault="00134269">
      <w:pPr>
        <w:pStyle w:val="Heading3"/>
        <w:divId w:val="106687436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lastRenderedPageBreak/>
        <w:t>Abbreviations</w:t>
      </w:r>
    </w:p>
    <w:p w14:paraId="4D62F22B" w14:textId="77777777" w:rsidR="00134269" w:rsidRDefault="00134269">
      <w:pPr>
        <w:pStyle w:val="NormalWeb"/>
        <w:numPr>
          <w:ilvl w:val="0"/>
          <w:numId w:val="1"/>
        </w:numPr>
        <w:divId w:val="1066874364"/>
      </w:pPr>
      <w:r>
        <w:rPr>
          <w:rStyle w:val="Strong"/>
        </w:rPr>
        <w:t>CS</w:t>
      </w:r>
      <w:r>
        <w:t xml:space="preserve"> = Customer Satisfaction</w:t>
      </w:r>
    </w:p>
    <w:p w14:paraId="67F1426C" w14:textId="77777777" w:rsidR="00134269" w:rsidRDefault="00134269">
      <w:pPr>
        <w:pStyle w:val="NormalWeb"/>
        <w:numPr>
          <w:ilvl w:val="0"/>
          <w:numId w:val="1"/>
        </w:numPr>
        <w:divId w:val="1066874364"/>
      </w:pPr>
      <w:r>
        <w:rPr>
          <w:rStyle w:val="Strong"/>
        </w:rPr>
        <w:t>SQ</w:t>
      </w:r>
      <w:r>
        <w:t xml:space="preserve"> = Service Quality</w:t>
      </w:r>
    </w:p>
    <w:p w14:paraId="2D8E0B2B" w14:textId="77777777" w:rsidR="00134269" w:rsidRDefault="00134269">
      <w:pPr>
        <w:pStyle w:val="NormalWeb"/>
        <w:numPr>
          <w:ilvl w:val="0"/>
          <w:numId w:val="1"/>
        </w:numPr>
        <w:divId w:val="1066874364"/>
      </w:pPr>
      <w:r>
        <w:rPr>
          <w:rStyle w:val="Strong"/>
        </w:rPr>
        <w:t>CL</w:t>
      </w:r>
      <w:r>
        <w:t xml:space="preserve"> = Customer Loyalty</w:t>
      </w:r>
    </w:p>
    <w:p w14:paraId="3D4F339C" w14:textId="77777777" w:rsidR="00134269" w:rsidRDefault="00134269">
      <w:pPr>
        <w:pStyle w:val="NormalWeb"/>
        <w:numPr>
          <w:ilvl w:val="0"/>
          <w:numId w:val="1"/>
        </w:numPr>
        <w:divId w:val="1066874364"/>
      </w:pPr>
      <w:r>
        <w:rPr>
          <w:rStyle w:val="Strong"/>
        </w:rPr>
        <w:t>FQ</w:t>
      </w:r>
      <w:r>
        <w:t xml:space="preserve"> = Food Quality</w:t>
      </w:r>
    </w:p>
    <w:p w14:paraId="227BA9FC" w14:textId="77777777" w:rsidR="00134269" w:rsidRDefault="00134269">
      <w:pPr>
        <w:pStyle w:val="NormalWeb"/>
        <w:numPr>
          <w:ilvl w:val="0"/>
          <w:numId w:val="1"/>
        </w:numPr>
        <w:divId w:val="1066874364"/>
      </w:pPr>
      <w:r>
        <w:rPr>
          <w:rStyle w:val="Strong"/>
        </w:rPr>
        <w:t>PE</w:t>
      </w:r>
      <w:r>
        <w:t xml:space="preserve"> = Physical Environment</w:t>
      </w:r>
    </w:p>
    <w:p w14:paraId="7D34F8DE" w14:textId="77777777" w:rsidR="00134269" w:rsidRDefault="00134269">
      <w:pPr>
        <w:pStyle w:val="NormalWeb"/>
        <w:numPr>
          <w:ilvl w:val="0"/>
          <w:numId w:val="1"/>
        </w:numPr>
        <w:divId w:val="1066874364"/>
      </w:pPr>
      <w:proofErr w:type="spellStart"/>
      <w:r>
        <w:rPr>
          <w:rStyle w:val="Strong"/>
        </w:rPr>
        <w:t>eWOM</w:t>
      </w:r>
      <w:proofErr w:type="spellEnd"/>
      <w:r>
        <w:t xml:space="preserve"> = Electronic Word-of-Mouth</w:t>
      </w:r>
    </w:p>
    <w:p w14:paraId="743C520F" w14:textId="77777777" w:rsidR="00134269" w:rsidRDefault="00134269">
      <w:pPr>
        <w:divId w:val="106687436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9B20B8F" wp14:editId="1E724884">
                <wp:extent cx="5943600" cy="1270"/>
                <wp:effectExtent l="0" t="31750" r="0" b="36830"/>
                <wp:docPr id="13028683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3654D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924FB91" w14:textId="0B86F03C" w:rsidR="0059741C" w:rsidRDefault="00134269" w:rsidP="0059741C">
      <w:pPr>
        <w:pStyle w:val="NormalWeb"/>
        <w:divId w:val="1066874364"/>
      </w:pPr>
      <w:r>
        <w:t xml:space="preserve"> </w:t>
      </w:r>
    </w:p>
    <w:p w14:paraId="7B4C34A6" w14:textId="05E8010B" w:rsidR="00134269" w:rsidRDefault="00134269">
      <w:pPr>
        <w:pStyle w:val="z-BottomofForm"/>
        <w:divId w:val="744110034"/>
      </w:pPr>
    </w:p>
    <w:p w14:paraId="358CCED9" w14:textId="078381BF" w:rsidR="00134269" w:rsidRDefault="00134269">
      <w:pPr>
        <w:divId w:val="958537412"/>
        <w:rPr>
          <w:rFonts w:eastAsia="Times New Roman"/>
        </w:rPr>
      </w:pPr>
    </w:p>
    <w:p w14:paraId="669F7CA3" w14:textId="77777777" w:rsidR="00087653" w:rsidRDefault="00087653" w:rsidP="00087653">
      <w:r>
        <w:t xml:space="preserve">FQ     → </w:t>
      </w:r>
    </w:p>
    <w:p w14:paraId="0F7D614B" w14:textId="77777777" w:rsidR="00087653" w:rsidRDefault="00087653" w:rsidP="00087653">
      <w:r>
        <w:t xml:space="preserve">         \</w:t>
      </w:r>
    </w:p>
    <w:p w14:paraId="580A392F" w14:textId="77777777" w:rsidR="00087653" w:rsidRDefault="00087653" w:rsidP="00087653">
      <w:r>
        <w:t>SQ      →  CS  →  CL  →  Repurchase Intention</w:t>
      </w:r>
    </w:p>
    <w:p w14:paraId="1B40B018" w14:textId="77777777" w:rsidR="00087653" w:rsidRDefault="00087653" w:rsidP="00087653">
      <w:r>
        <w:t xml:space="preserve">         /                 ↘</w:t>
      </w:r>
    </w:p>
    <w:p w14:paraId="7CFCE44A" w14:textId="1BB05167" w:rsidR="00134269" w:rsidRDefault="00087653">
      <w:r>
        <w:t xml:space="preserve">PE     →                   </w:t>
      </w:r>
      <w:proofErr w:type="spellStart"/>
      <w:r>
        <w:t>eWOM</w:t>
      </w:r>
      <w:proofErr w:type="spellEnd"/>
    </w:p>
    <w:sectPr w:rsidR="00134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064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21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69"/>
    <w:rsid w:val="00087653"/>
    <w:rsid w:val="00134269"/>
    <w:rsid w:val="001C5F69"/>
    <w:rsid w:val="003B469A"/>
    <w:rsid w:val="0059741C"/>
    <w:rsid w:val="00814805"/>
    <w:rsid w:val="00F6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779E9"/>
  <w15:chartTrackingRefBased/>
  <w15:docId w15:val="{FF8FDC48-87B3-0341-8334-795277C5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2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3426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3426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426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4269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placeholder">
    <w:name w:val="placeholder"/>
    <w:basedOn w:val="Normal"/>
    <w:rsid w:val="0013426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ms-15">
    <w:name w:val="ms-1.5"/>
    <w:basedOn w:val="DefaultParagraphFont"/>
    <w:rsid w:val="0013426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426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4269"/>
    <w:rPr>
      <w:rFonts w:ascii="Arial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0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0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24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7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79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57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zeinali</dc:creator>
  <cp:keywords/>
  <dc:description/>
  <cp:lastModifiedBy>sahar zeinali</cp:lastModifiedBy>
  <cp:revision>2</cp:revision>
  <dcterms:created xsi:type="dcterms:W3CDTF">2025-07-09T11:51:00Z</dcterms:created>
  <dcterms:modified xsi:type="dcterms:W3CDTF">2025-07-09T11:51:00Z</dcterms:modified>
</cp:coreProperties>
</file>