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BD" w:rsidRPr="000B0BBD" w:rsidRDefault="000B0BBD" w:rsidP="000B0BBD">
      <w:pPr>
        <w:bidi/>
        <w:spacing w:after="200" w:line="276" w:lineRule="auto"/>
        <w:jc w:val="both"/>
        <w:rPr>
          <w:rFonts w:ascii="Times New Roman" w:eastAsia="Calibri" w:hAnsi="Times New Roman" w:cs="B Lotus"/>
          <w:sz w:val="24"/>
          <w:szCs w:val="28"/>
          <w:rtl/>
          <w:lang w:val="en-US"/>
        </w:rPr>
      </w:pPr>
      <w:r w:rsidRPr="000B0BBD">
        <w:rPr>
          <w:rFonts w:ascii="Times New Roman" w:eastAsia="Calibri" w:hAnsi="Times New Roman" w:cs="B Lotus" w:hint="cs"/>
          <w:sz w:val="24"/>
          <w:szCs w:val="28"/>
          <w:rtl/>
          <w:lang w:val="en-US"/>
        </w:rPr>
        <w:t>در راستای ارایه نتایج این پژوهش «مدل همکاری راهبردی نظام بانکی ایران با استارت آپ</w:t>
      </w:r>
      <w:r w:rsidRPr="000B0BBD">
        <w:rPr>
          <w:rFonts w:ascii="Times New Roman" w:eastAsia="Calibri" w:hAnsi="Times New Roman" w:cs="B Lotus"/>
          <w:sz w:val="24"/>
          <w:szCs w:val="28"/>
          <w:rtl/>
          <w:lang w:val="en-US"/>
        </w:rPr>
        <w:softHyphen/>
      </w:r>
      <w:r w:rsidRPr="000B0BBD">
        <w:rPr>
          <w:rFonts w:ascii="Times New Roman" w:eastAsia="Calibri" w:hAnsi="Times New Roman" w:cs="B Lotus" w:hint="cs"/>
          <w:sz w:val="24"/>
          <w:szCs w:val="28"/>
          <w:rtl/>
          <w:lang w:val="en-US"/>
        </w:rPr>
        <w:t>های حوزه فین</w:t>
      </w:r>
      <w:r w:rsidRPr="000B0BBD">
        <w:rPr>
          <w:rFonts w:ascii="Times New Roman" w:eastAsia="Calibri" w:hAnsi="Times New Roman" w:cs="B Lotus"/>
          <w:sz w:val="24"/>
          <w:szCs w:val="28"/>
          <w:rtl/>
          <w:lang w:val="en-US"/>
        </w:rPr>
        <w:softHyphen/>
      </w:r>
      <w:r w:rsidRPr="000B0BBD">
        <w:rPr>
          <w:rFonts w:ascii="Times New Roman" w:eastAsia="Calibri" w:hAnsi="Times New Roman" w:cs="B Lotus" w:hint="cs"/>
          <w:sz w:val="24"/>
          <w:szCs w:val="28"/>
          <w:rtl/>
          <w:lang w:val="en-US"/>
        </w:rPr>
        <w:t>تک» حاصل از مصاحبه</w:t>
      </w:r>
      <w:r w:rsidRPr="000B0BBD">
        <w:rPr>
          <w:rFonts w:ascii="Times New Roman" w:eastAsia="Calibri" w:hAnsi="Times New Roman" w:cs="B Lotus"/>
          <w:sz w:val="24"/>
          <w:szCs w:val="28"/>
          <w:rtl/>
          <w:lang w:val="en-US"/>
        </w:rPr>
        <w:softHyphen/>
      </w:r>
      <w:r w:rsidRPr="000B0BBD">
        <w:rPr>
          <w:rFonts w:ascii="Times New Roman" w:eastAsia="Calibri" w:hAnsi="Times New Roman" w:cs="B Lotus" w:hint="cs"/>
          <w:sz w:val="24"/>
          <w:szCs w:val="28"/>
          <w:rtl/>
          <w:lang w:val="en-US"/>
        </w:rPr>
        <w:t>های انجام شده با خبرگان، شرح کامل کدگذاری</w:t>
      </w:r>
      <w:r w:rsidRPr="000B0BBD">
        <w:rPr>
          <w:rFonts w:ascii="Times New Roman" w:eastAsia="Calibri" w:hAnsi="Times New Roman" w:cs="B Lotus"/>
          <w:sz w:val="24"/>
          <w:szCs w:val="28"/>
          <w:rtl/>
          <w:lang w:val="en-US" w:bidi="fa-IR"/>
        </w:rPr>
        <w:softHyphen/>
      </w:r>
      <w:r w:rsidRPr="000B0BBD">
        <w:rPr>
          <w:rFonts w:ascii="Times New Roman" w:eastAsia="Calibri" w:hAnsi="Times New Roman" w:cs="B Lotus" w:hint="cs"/>
          <w:sz w:val="24"/>
          <w:szCs w:val="28"/>
          <w:rtl/>
          <w:lang w:val="en-US"/>
        </w:rPr>
        <w:t>های باز و مقولات محوری بشرح جدول ذیل ارائه گردیده</w:t>
      </w:r>
      <w:r w:rsidRPr="000B0BBD">
        <w:rPr>
          <w:rFonts w:ascii="Times New Roman" w:eastAsia="Calibri" w:hAnsi="Times New Roman" w:cs="B Lotus"/>
          <w:sz w:val="24"/>
          <w:szCs w:val="28"/>
          <w:rtl/>
          <w:lang w:val="en-US"/>
        </w:rPr>
        <w:softHyphen/>
      </w:r>
      <w:r w:rsidRPr="000B0BBD">
        <w:rPr>
          <w:rFonts w:ascii="Times New Roman" w:eastAsia="Calibri" w:hAnsi="Times New Roman" w:cs="B Lotus" w:hint="cs"/>
          <w:sz w:val="24"/>
          <w:szCs w:val="28"/>
          <w:rtl/>
          <w:lang w:val="en-US"/>
        </w:rPr>
        <w:t xml:space="preserve">اند. حاصل این مرحله از فرایند تحقیق، شکل گیری 31 مولفه و یا کد محوری و 6 مقوله کلان (ابعاد اصلی) بوده است. </w:t>
      </w:r>
    </w:p>
    <w:p w:rsidR="000B0BBD" w:rsidRDefault="000B0BBD" w:rsidP="000B0BBD">
      <w:pPr>
        <w:tabs>
          <w:tab w:val="left" w:pos="649"/>
          <w:tab w:val="left" w:pos="1475"/>
        </w:tabs>
        <w:bidi/>
        <w:jc w:val="center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مدل همکاری راهبردی بانکها و شرکتهای حوزه فین تک</w:t>
      </w:r>
      <w:r>
        <w:rPr>
          <w:rFonts w:cs="B Mitra"/>
          <w:b/>
          <w:bCs/>
          <w:sz w:val="20"/>
          <w:szCs w:val="20"/>
          <w:lang w:bidi="fa-IR"/>
        </w:rPr>
        <w:t xml:space="preserve"> 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به روش داده بنیاد</w:t>
      </w:r>
    </w:p>
    <w:tbl>
      <w:tblPr>
        <w:tblStyle w:val="TableGrid11"/>
        <w:bidiVisual/>
        <w:tblW w:w="694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2"/>
        <w:gridCol w:w="4508"/>
      </w:tblGrid>
      <w:tr w:rsidR="000B0BBD" w:rsidRPr="008A466A" w:rsidTr="003F4262">
        <w:trPr>
          <w:trHeight w:hRule="exact" w:val="624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ابعاد (مقوله کلان)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مولفه</w:t>
            </w:r>
            <w:r w:rsidRPr="008A466A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A466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(کدهای محوری)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انگیزه بانکها و فین تکها در ورود به همکاری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راهبردی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Strategic Cooperation Motivations (SCM)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نیاز به توسعه بازار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Market Development (MD)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جنبه های مالی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Financial Aspects (FA)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0B0BBD" w:rsidRPr="008A466A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انگیزه های نوآورانه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Innovation Motivations (IM)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اکوسیستم نوین کسب و کار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Business Ecosystem (BE)</w:t>
            </w:r>
          </w:p>
        </w:tc>
      </w:tr>
      <w:tr w:rsidR="000B0BBD" w:rsidRPr="008A466A" w:rsidTr="003F4262">
        <w:trPr>
          <w:trHeight w:hRule="exact" w:val="624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0B0BBD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عوامل تبیین کننده همکاری بانکها و فین تکها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Effective Factors on Cooperation (EFOC)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تحول دیجیتال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Digital Transformation (DT)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زیرساختهای علم و فناوری</w:t>
            </w:r>
          </w:p>
          <w:p w:rsidR="000B0BBD" w:rsidRPr="00DF7F34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Technology Infrastructures (TI)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DF7F34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عوامل ساختاری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Structural Factors (SF)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DF7F34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عوامل سازمانی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Organizational Factors (OF)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DF7F34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عوامل فرهنگی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Cultural Factors (CF)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DF7F34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جایگاه مدیران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Manager Tact (MT)</w:t>
            </w:r>
          </w:p>
        </w:tc>
      </w:tr>
      <w:tr w:rsidR="000B0BBD" w:rsidRPr="008A466A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اعتمادسازی و انتخاب بهینه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Trust Making (TM)</w:t>
            </w:r>
          </w:p>
        </w:tc>
      </w:tr>
      <w:tr w:rsidR="000B0BBD" w:rsidRPr="008A466A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جنبه های حقوقی و قانونی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Legal Features (LF)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انواع سطوح همکاری بانکها و فین تکها</w:t>
            </w:r>
          </w:p>
          <w:p w:rsidR="000B0BBD" w:rsidRPr="00DF7F34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 xml:space="preserve">Levels of Cooperation Between Banks and </w:t>
            </w:r>
            <w:proofErr w:type="spellStart"/>
            <w:r w:rsidRPr="00DF7F34">
              <w:rPr>
                <w:rFonts w:cs="B Mitra"/>
                <w:sz w:val="20"/>
                <w:szCs w:val="20"/>
                <w:lang w:val="en-GB" w:bidi="fa-IR"/>
              </w:rPr>
              <w:t>Fintechs</w:t>
            </w:r>
            <w:proofErr w:type="spellEnd"/>
            <w:r w:rsidRPr="00DF7F34">
              <w:rPr>
                <w:rFonts w:cs="B Mitra"/>
                <w:sz w:val="20"/>
                <w:szCs w:val="20"/>
                <w:lang w:val="en-GB" w:bidi="fa-IR"/>
              </w:rPr>
              <w:t xml:space="preserve"> (LCBF)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سطوح همکاری رایج</w:t>
            </w:r>
          </w:p>
          <w:p w:rsidR="000B0BBD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val="en-GB"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Conventional Cooperation (CC)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سطوح همکاری راهبردی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Strategic Cooperation (SC)</w:t>
            </w:r>
          </w:p>
        </w:tc>
      </w:tr>
      <w:tr w:rsidR="000B0BBD" w:rsidRPr="008A466A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همکاری راهبردی انعطاف پذیر و پویا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Dynamic Cooperation (DC)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ابعاد و مولفه های برون سازمانی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lastRenderedPageBreak/>
              <w:t>Extra Organizational Factors (EOF)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lastRenderedPageBreak/>
              <w:t>عوامل محیطی و ملی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Peripheral Factors (PF)</w:t>
            </w:r>
          </w:p>
        </w:tc>
      </w:tr>
      <w:tr w:rsidR="000B0BBD" w:rsidRPr="008A466A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عوامل بین المللی و تحریمهای حوزه فناوری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International Factors (IF)</w:t>
            </w:r>
          </w:p>
        </w:tc>
      </w:tr>
      <w:tr w:rsidR="000B0BBD" w:rsidRPr="008A466A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قانون گذار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نهاد ناظر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Law Making (LM)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سیاست گذاری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Policy Making (PM)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دولت و مجلس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Government and Parliament (GP)</w:t>
            </w:r>
          </w:p>
        </w:tc>
      </w:tr>
      <w:tr w:rsidR="000B0BBD" w:rsidRPr="008A466A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اتحادیه و سندیکای بانکی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Banking Syndication (BS)</w:t>
            </w:r>
          </w:p>
        </w:tc>
      </w:tr>
      <w:tr w:rsidR="000B0BBD" w:rsidRPr="008A466A" w:rsidTr="003F4262">
        <w:trPr>
          <w:trHeight w:hRule="exact" w:val="624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موانع و مشکلات ورود به همکاریهای راهبردی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Strategic Cooperation Barriers (SCB)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محدودیتهای فناورانه و زیرساختی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bidi="fa-IR"/>
              </w:rPr>
              <w:t>Technology Limitations (TL)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موانع اقتصادی و تجاری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Economic Barriers (EB)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موانع فرایندی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Procedure Barriers (PB)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چالشهای امنیتی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Security Challenges (SC)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موانع قانونی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Legal Barriers (LB)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DF7F34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پیامدهای ورود به همکاریهای راهبردی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Strategic Cooperation Outcomes (SCO)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توسعه کسب و کار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Business Development (BD)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ارزش آفرینی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Value Making (VM)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ارتقاء کارایی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466A">
              <w:rPr>
                <w:rFonts w:cs="B Mitra"/>
                <w:sz w:val="20"/>
                <w:szCs w:val="20"/>
                <w:lang w:val="en-GB" w:bidi="fa-IR"/>
              </w:rPr>
              <w:t>Efficiency Improvement (EI)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DF7F34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ارتقاء شفافیت و سلامت مالی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Transparency Improvement (TI)</w:t>
            </w:r>
          </w:p>
        </w:tc>
      </w:tr>
      <w:tr w:rsidR="000B0BBD" w:rsidRPr="000B0BBD" w:rsidTr="003F4262">
        <w:trPr>
          <w:trHeight w:hRule="exact" w:val="6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8A466A" w:rsidRDefault="000B0BBD" w:rsidP="003F426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BBD" w:rsidRPr="00DF7F34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lang w:val="en-GB" w:bidi="fa-IR"/>
              </w:rPr>
            </w:pPr>
            <w:r w:rsidRPr="008A466A">
              <w:rPr>
                <w:rFonts w:cs="B Mitra" w:hint="cs"/>
                <w:sz w:val="20"/>
                <w:szCs w:val="20"/>
                <w:rtl/>
                <w:lang w:bidi="fa-IR"/>
              </w:rPr>
              <w:t>شاخص ریسک</w:t>
            </w:r>
          </w:p>
          <w:p w:rsidR="000B0BBD" w:rsidRPr="008A466A" w:rsidRDefault="000B0BBD" w:rsidP="003F42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7F34">
              <w:rPr>
                <w:rFonts w:cs="B Mitra"/>
                <w:sz w:val="20"/>
                <w:szCs w:val="20"/>
                <w:lang w:val="en-GB" w:bidi="fa-IR"/>
              </w:rPr>
              <w:t>Risk Indicators (RI)</w:t>
            </w:r>
          </w:p>
        </w:tc>
      </w:tr>
    </w:tbl>
    <w:p w:rsidR="000B0BBD" w:rsidRPr="000B0BBD" w:rsidRDefault="000B0BBD" w:rsidP="002F5DA5">
      <w:pPr>
        <w:pBdr>
          <w:top w:val="nil"/>
          <w:left w:val="nil"/>
          <w:bottom w:val="nil"/>
          <w:right w:val="nil"/>
          <w:between w:val="nil"/>
        </w:pBdr>
        <w:bidi/>
        <w:spacing w:after="200" w:line="240" w:lineRule="auto"/>
        <w:jc w:val="both"/>
        <w:rPr>
          <w:rFonts w:ascii="Times New Roman" w:eastAsia="Times New Roman" w:hAnsi="Times New Roman" w:cs="B Lotus"/>
          <w:bCs/>
          <w:szCs w:val="24"/>
          <w:rtl/>
          <w:lang w:val="en-GB" w:bidi="fa-IR"/>
        </w:rPr>
      </w:pPr>
    </w:p>
    <w:p w:rsidR="000B0BBD" w:rsidRDefault="000B0BBD" w:rsidP="000B0BBD">
      <w:pPr>
        <w:pBdr>
          <w:top w:val="nil"/>
          <w:left w:val="nil"/>
          <w:bottom w:val="nil"/>
          <w:right w:val="nil"/>
          <w:between w:val="nil"/>
        </w:pBdr>
        <w:bidi/>
        <w:spacing w:after="200" w:line="240" w:lineRule="auto"/>
        <w:jc w:val="both"/>
        <w:rPr>
          <w:rFonts w:ascii="Times New Roman" w:eastAsia="Times New Roman" w:hAnsi="Times New Roman" w:cs="B Lotus"/>
          <w:bCs/>
          <w:szCs w:val="24"/>
          <w:rtl/>
          <w:lang w:val="en-US" w:bidi="fa-IR"/>
        </w:rPr>
      </w:pPr>
    </w:p>
    <w:p w:rsidR="000B0BBD" w:rsidRDefault="000B0BBD" w:rsidP="000B0BBD">
      <w:pPr>
        <w:pBdr>
          <w:top w:val="nil"/>
          <w:left w:val="nil"/>
          <w:bottom w:val="nil"/>
          <w:right w:val="nil"/>
          <w:between w:val="nil"/>
        </w:pBdr>
        <w:bidi/>
        <w:spacing w:after="200" w:line="240" w:lineRule="auto"/>
        <w:jc w:val="both"/>
        <w:rPr>
          <w:rFonts w:ascii="Times New Roman" w:eastAsia="Times New Roman" w:hAnsi="Times New Roman" w:cs="B Lotus"/>
          <w:bCs/>
          <w:szCs w:val="24"/>
          <w:rtl/>
          <w:lang w:val="en-US" w:bidi="fa-IR"/>
        </w:rPr>
      </w:pPr>
    </w:p>
    <w:p w:rsidR="002F5DA5" w:rsidRPr="002F5DA5" w:rsidRDefault="002F5DA5" w:rsidP="000B0BBD">
      <w:pPr>
        <w:pBdr>
          <w:top w:val="nil"/>
          <w:left w:val="nil"/>
          <w:bottom w:val="nil"/>
          <w:right w:val="nil"/>
          <w:between w:val="nil"/>
        </w:pBdr>
        <w:bidi/>
        <w:spacing w:after="200" w:line="240" w:lineRule="auto"/>
        <w:jc w:val="both"/>
        <w:rPr>
          <w:rFonts w:ascii="Times New Roman" w:eastAsia="Times New Roman" w:hAnsi="Times New Roman" w:cs="B Lotus"/>
          <w:bCs/>
          <w:szCs w:val="24"/>
          <w:rtl/>
          <w:lang w:val="en-US" w:bidi="fa-IR"/>
        </w:rPr>
      </w:pPr>
      <w:r w:rsidRPr="002F5DA5">
        <w:rPr>
          <w:rFonts w:ascii="Times New Roman" w:eastAsia="Times New Roman" w:hAnsi="Times New Roman" w:cs="B Lotus" w:hint="cs"/>
          <w:bCs/>
          <w:szCs w:val="24"/>
          <w:rtl/>
          <w:lang w:val="en-US" w:bidi="fa-IR"/>
        </w:rPr>
        <w:t>فرضیات اصلی</w:t>
      </w:r>
    </w:p>
    <w:p w:rsidR="002F5DA5" w:rsidRPr="002F5DA5" w:rsidRDefault="002F5DA5" w:rsidP="002F5DA5">
      <w:pPr>
        <w:pBdr>
          <w:top w:val="nil"/>
          <w:left w:val="nil"/>
          <w:bottom w:val="nil"/>
          <w:right w:val="nil"/>
          <w:between w:val="nil"/>
        </w:pBdr>
        <w:bidi/>
        <w:spacing w:after="200" w:line="240" w:lineRule="auto"/>
        <w:jc w:val="both"/>
        <w:rPr>
          <w:rFonts w:ascii="Times New Roman" w:eastAsia="Times New Roman" w:hAnsi="Times New Roman" w:cs="B Lotus"/>
          <w:szCs w:val="24"/>
          <w:rtl/>
          <w:lang w:val="en-US" w:bidi="fa-IR"/>
        </w:rPr>
      </w:pP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فرضیات حاصل از تئوری داده بنیاد عبارت‌اند از:</w:t>
      </w:r>
    </w:p>
    <w:p w:rsidR="002F5DA5" w:rsidRPr="002F5DA5" w:rsidRDefault="002F5DA5" w:rsidP="002F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200" w:line="240" w:lineRule="auto"/>
        <w:jc w:val="both"/>
        <w:rPr>
          <w:rFonts w:ascii="Times New Roman" w:eastAsia="Times New Roman" w:hAnsi="Times New Roman" w:cs="B Lotus"/>
          <w:szCs w:val="24"/>
          <w:lang w:val="en-US" w:bidi="fa-IR"/>
        </w:rPr>
      </w:pP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انگیزه بانک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و فین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تک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در ورود به همکاری بر همکاری راهبردی بانک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و فین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softHyphen/>
        <w:t>تک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تأثیر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t xml:space="preserve"> 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معنادار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t xml:space="preserve"> 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دارد.</w:t>
      </w:r>
    </w:p>
    <w:p w:rsidR="002F5DA5" w:rsidRPr="002F5DA5" w:rsidRDefault="002F5DA5" w:rsidP="002F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200" w:line="240" w:lineRule="auto"/>
        <w:jc w:val="both"/>
        <w:rPr>
          <w:rFonts w:ascii="Times New Roman" w:eastAsia="Times New Roman" w:hAnsi="Times New Roman" w:cs="B Lotus"/>
          <w:szCs w:val="24"/>
          <w:lang w:val="en-US" w:bidi="fa-IR"/>
        </w:rPr>
      </w:pP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عوامل تبیین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کننده همکاری بانک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و فین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تک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بر همکاری راهبردی بانک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و فین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softHyphen/>
        <w:t>تک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تأثیر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t xml:space="preserve"> 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معنادار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t xml:space="preserve"> 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دارد</w:t>
      </w:r>
      <w:r w:rsidRPr="002F5DA5">
        <w:rPr>
          <w:rFonts w:ascii="Times New Roman" w:eastAsia="Times New Roman" w:hAnsi="Times New Roman" w:cs="B Lotus"/>
          <w:szCs w:val="24"/>
          <w:lang w:val="en-US" w:bidi="fa-IR"/>
        </w:rPr>
        <w:t>.</w:t>
      </w:r>
    </w:p>
    <w:p w:rsidR="002F5DA5" w:rsidRPr="002F5DA5" w:rsidRDefault="002F5DA5" w:rsidP="002F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200" w:line="240" w:lineRule="auto"/>
        <w:jc w:val="both"/>
        <w:rPr>
          <w:rFonts w:ascii="Times New Roman" w:eastAsia="Times New Roman" w:hAnsi="Times New Roman" w:cs="B Lotus"/>
          <w:szCs w:val="24"/>
          <w:rtl/>
          <w:lang w:val="en-US" w:bidi="fa-IR"/>
        </w:rPr>
      </w:pP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lastRenderedPageBreak/>
        <w:t>انواع سطوح همکاری بانک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و فین تک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بر همکاری راهبردی بانک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و فین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softHyphen/>
        <w:t>تک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تأثیر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t xml:space="preserve"> 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معنادار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t xml:space="preserve"> 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دارد</w:t>
      </w:r>
      <w:r w:rsidRPr="002F5DA5">
        <w:rPr>
          <w:rFonts w:ascii="Times New Roman" w:eastAsia="Times New Roman" w:hAnsi="Times New Roman" w:cs="B Lotus"/>
          <w:szCs w:val="24"/>
          <w:lang w:val="en-US" w:bidi="fa-IR"/>
        </w:rPr>
        <w:t>.</w:t>
      </w:r>
    </w:p>
    <w:p w:rsidR="002F5DA5" w:rsidRPr="002F5DA5" w:rsidRDefault="002F5DA5" w:rsidP="002F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200" w:line="240" w:lineRule="auto"/>
        <w:jc w:val="both"/>
        <w:rPr>
          <w:rFonts w:ascii="Times New Roman" w:eastAsia="Times New Roman" w:hAnsi="Times New Roman" w:cs="B Lotus"/>
          <w:szCs w:val="24"/>
          <w:lang w:val="en-US" w:bidi="fa-IR"/>
        </w:rPr>
      </w:pP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ابعاد و مولفه های برون سازمانی بر همکاری راهبردی بانک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و فین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softHyphen/>
        <w:t>تک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تأثیر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t xml:space="preserve"> 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معنادار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t xml:space="preserve"> 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دارد</w:t>
      </w:r>
      <w:r w:rsidRPr="002F5DA5">
        <w:rPr>
          <w:rFonts w:ascii="Times New Roman" w:eastAsia="Times New Roman" w:hAnsi="Times New Roman" w:cs="B Lotus"/>
          <w:szCs w:val="24"/>
          <w:lang w:val="en-US" w:bidi="fa-IR"/>
        </w:rPr>
        <w:t>.</w:t>
      </w:r>
    </w:p>
    <w:p w:rsidR="002F5DA5" w:rsidRPr="002F5DA5" w:rsidRDefault="002F5DA5" w:rsidP="002F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200" w:line="240" w:lineRule="auto"/>
        <w:jc w:val="both"/>
        <w:rPr>
          <w:rFonts w:ascii="Times New Roman" w:eastAsia="Times New Roman" w:hAnsi="Times New Roman" w:cs="B Lotus"/>
          <w:szCs w:val="24"/>
          <w:lang w:val="en-US" w:bidi="fa-IR"/>
        </w:rPr>
      </w:pP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موانع و مشکلات ورود به همکاری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های راهبردی بر همکاری راهبردی بانک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و فین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softHyphen/>
        <w:t>تک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تأثیر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t xml:space="preserve"> 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معنادار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t xml:space="preserve"> 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دارد</w:t>
      </w:r>
      <w:r w:rsidRPr="002F5DA5">
        <w:rPr>
          <w:rFonts w:ascii="Times New Roman" w:eastAsia="Times New Roman" w:hAnsi="Times New Roman" w:cs="B Lotus"/>
          <w:szCs w:val="24"/>
          <w:lang w:val="en-US" w:bidi="fa-IR"/>
        </w:rPr>
        <w:t>.</w:t>
      </w:r>
    </w:p>
    <w:p w:rsidR="002F5DA5" w:rsidRPr="002F5DA5" w:rsidRDefault="002F5DA5" w:rsidP="002F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200" w:line="240" w:lineRule="auto"/>
        <w:jc w:val="both"/>
        <w:rPr>
          <w:rFonts w:ascii="Times New Roman" w:eastAsia="Times New Roman" w:hAnsi="Times New Roman" w:cs="B Lotus"/>
          <w:szCs w:val="24"/>
          <w:lang w:val="en-US" w:bidi="fa-IR"/>
        </w:rPr>
      </w:pP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پیامدهای ورود به همکاری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های راهبردی بر همکاری راهبردی بانک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و فین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softHyphen/>
        <w:t>تک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softHyphen/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ها تأثیر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t xml:space="preserve"> 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معنادار</w:t>
      </w:r>
      <w:r w:rsidRPr="002F5DA5">
        <w:rPr>
          <w:rFonts w:ascii="Times New Roman" w:eastAsia="Times New Roman" w:hAnsi="Times New Roman" w:cs="B Lotus"/>
          <w:szCs w:val="24"/>
          <w:rtl/>
          <w:lang w:val="en-US" w:bidi="fa-IR"/>
        </w:rPr>
        <w:t xml:space="preserve"> </w:t>
      </w:r>
      <w:r w:rsidRPr="002F5DA5">
        <w:rPr>
          <w:rFonts w:ascii="Times New Roman" w:eastAsia="Times New Roman" w:hAnsi="Times New Roman" w:cs="B Lotus" w:hint="cs"/>
          <w:szCs w:val="24"/>
          <w:rtl/>
          <w:lang w:val="en-US" w:bidi="fa-IR"/>
        </w:rPr>
        <w:t>دارد</w:t>
      </w:r>
      <w:r w:rsidRPr="002F5DA5">
        <w:rPr>
          <w:rFonts w:ascii="Times New Roman" w:eastAsia="Times New Roman" w:hAnsi="Times New Roman" w:cs="B Lotus"/>
          <w:szCs w:val="24"/>
          <w:lang w:val="en-US" w:bidi="fa-IR"/>
        </w:rPr>
        <w:t>.</w:t>
      </w:r>
    </w:p>
    <w:p w:rsidR="002F5DA5" w:rsidRPr="002F5DA5" w:rsidRDefault="002F5DA5" w:rsidP="002F5DA5">
      <w:pPr>
        <w:pBdr>
          <w:top w:val="nil"/>
          <w:left w:val="nil"/>
          <w:bottom w:val="nil"/>
          <w:right w:val="nil"/>
          <w:between w:val="nil"/>
        </w:pBdr>
        <w:bidi/>
        <w:spacing w:after="200" w:line="240" w:lineRule="auto"/>
        <w:jc w:val="both"/>
        <w:rPr>
          <w:rFonts w:ascii="Times New Roman" w:eastAsia="Times New Roman" w:hAnsi="Times New Roman" w:cs="B Lotus"/>
          <w:szCs w:val="24"/>
          <w:lang w:val="en-US" w:bidi="fa-IR"/>
        </w:rPr>
      </w:pPr>
    </w:p>
    <w:p w:rsidR="002F5DA5" w:rsidRPr="002F5DA5" w:rsidRDefault="002F5DA5" w:rsidP="002F5DA5">
      <w:pPr>
        <w:pBdr>
          <w:top w:val="nil"/>
          <w:left w:val="nil"/>
          <w:bottom w:val="nil"/>
          <w:right w:val="nil"/>
          <w:between w:val="nil"/>
        </w:pBdr>
        <w:bidi/>
        <w:spacing w:after="200" w:line="240" w:lineRule="auto"/>
        <w:jc w:val="both"/>
        <w:rPr>
          <w:rFonts w:ascii="Times New Roman" w:eastAsia="Times New Roman" w:hAnsi="Times New Roman" w:cs="B Lotus"/>
          <w:szCs w:val="24"/>
          <w:rtl/>
          <w:lang w:val="en-US" w:bidi="fa-IR"/>
        </w:rPr>
      </w:pPr>
    </w:p>
    <w:p w:rsidR="00101828" w:rsidRPr="00101828" w:rsidRDefault="00101828" w:rsidP="002F5DA5">
      <w:pPr>
        <w:pBdr>
          <w:top w:val="nil"/>
          <w:left w:val="nil"/>
          <w:bottom w:val="nil"/>
          <w:right w:val="nil"/>
          <w:between w:val="nil"/>
        </w:pBdr>
        <w:bidi/>
        <w:spacing w:after="200" w:line="240" w:lineRule="auto"/>
        <w:jc w:val="center"/>
        <w:rPr>
          <w:rFonts w:ascii="Times New Roman" w:eastAsia="Times New Roman" w:hAnsi="Times New Roman" w:cs="B Lotus"/>
          <w:szCs w:val="24"/>
          <w:lang w:val="en-US" w:bidi="fa-IR"/>
        </w:rPr>
      </w:pPr>
      <w:bookmarkStart w:id="0" w:name="_GoBack"/>
      <w:bookmarkEnd w:id="0"/>
      <w:r w:rsidRPr="00101828">
        <w:rPr>
          <w:rFonts w:ascii="Times New Roman" w:eastAsia="Times New Roman" w:hAnsi="Times New Roman" w:cs="B Lotus"/>
          <w:szCs w:val="24"/>
          <w:rtl/>
          <w:lang w:val="en-US" w:bidi="fa-IR"/>
        </w:rPr>
        <w:t xml:space="preserve">جدول </w:t>
      </w:r>
      <w:r w:rsidRPr="00101828">
        <w:rPr>
          <w:rFonts w:ascii="Times New Roman" w:eastAsia="Times New Roman" w:hAnsi="Times New Roman" w:cs="B Lotus"/>
          <w:szCs w:val="24"/>
          <w:rtl/>
          <w:lang w:val="en-US" w:bidi="fa-IR"/>
        </w:rPr>
        <w:fldChar w:fldCharType="begin"/>
      </w:r>
      <w:r w:rsidRPr="00101828">
        <w:rPr>
          <w:rFonts w:ascii="Times New Roman" w:eastAsia="Times New Roman" w:hAnsi="Times New Roman" w:cs="B Lotus"/>
          <w:szCs w:val="24"/>
          <w:rtl/>
          <w:lang w:val="en-US" w:bidi="fa-IR"/>
        </w:rPr>
        <w:instrText xml:space="preserve"> </w:instrText>
      </w:r>
      <w:r w:rsidRPr="00101828">
        <w:rPr>
          <w:rFonts w:ascii="Times New Roman" w:eastAsia="Times New Roman" w:hAnsi="Times New Roman" w:cs="B Lotus"/>
          <w:szCs w:val="24"/>
          <w:lang w:val="en-US" w:bidi="fa-IR"/>
        </w:rPr>
        <w:instrText>STYLEREF</w:instrText>
      </w:r>
      <w:r w:rsidRPr="00101828">
        <w:rPr>
          <w:rFonts w:ascii="Times New Roman" w:eastAsia="Times New Roman" w:hAnsi="Times New Roman" w:cs="B Lotus"/>
          <w:szCs w:val="24"/>
          <w:rtl/>
          <w:lang w:val="en-US" w:bidi="fa-IR"/>
        </w:rPr>
        <w:instrText xml:space="preserve"> 1 \</w:instrText>
      </w:r>
      <w:r w:rsidRPr="00101828">
        <w:rPr>
          <w:rFonts w:ascii="Times New Roman" w:eastAsia="Times New Roman" w:hAnsi="Times New Roman" w:cs="B Lotus"/>
          <w:szCs w:val="24"/>
          <w:lang w:val="en-US" w:bidi="fa-IR"/>
        </w:rPr>
        <w:instrText>s</w:instrText>
      </w:r>
      <w:r w:rsidRPr="00101828">
        <w:rPr>
          <w:rFonts w:ascii="Times New Roman" w:eastAsia="Times New Roman" w:hAnsi="Times New Roman" w:cs="B Lotus"/>
          <w:szCs w:val="24"/>
          <w:rtl/>
          <w:lang w:val="en-US" w:bidi="fa-IR"/>
        </w:rPr>
        <w:instrText xml:space="preserve"> </w:instrText>
      </w:r>
      <w:r w:rsidRPr="00101828">
        <w:rPr>
          <w:rFonts w:ascii="Times New Roman" w:eastAsia="Times New Roman" w:hAnsi="Times New Roman" w:cs="B Lotus"/>
          <w:szCs w:val="24"/>
          <w:rtl/>
          <w:lang w:val="en-US" w:bidi="fa-IR"/>
        </w:rPr>
        <w:fldChar w:fldCharType="separate"/>
      </w:r>
      <w:r w:rsidRPr="00101828">
        <w:rPr>
          <w:rFonts w:ascii="Times New Roman" w:eastAsia="Times New Roman" w:hAnsi="Times New Roman" w:cs="B Lotus"/>
          <w:noProof/>
          <w:szCs w:val="24"/>
          <w:rtl/>
          <w:lang w:val="en-US" w:bidi="fa-IR"/>
        </w:rPr>
        <w:t>‏4</w:t>
      </w:r>
      <w:r w:rsidRPr="00101828">
        <w:rPr>
          <w:rFonts w:ascii="Times New Roman" w:eastAsia="Times New Roman" w:hAnsi="Times New Roman" w:cs="B Lotus"/>
          <w:szCs w:val="24"/>
          <w:rtl/>
          <w:lang w:val="en-US" w:bidi="fa-IR"/>
        </w:rPr>
        <w:fldChar w:fldCharType="end"/>
      </w:r>
      <w:r w:rsidRPr="00101828">
        <w:rPr>
          <w:rFonts w:ascii="Times New Roman" w:eastAsia="Times New Roman" w:hAnsi="Times New Roman" w:cs="Times New Roman" w:hint="cs"/>
          <w:szCs w:val="24"/>
          <w:rtl/>
          <w:lang w:val="en-US" w:bidi="fa-IR"/>
        </w:rPr>
        <w:t>—</w:t>
      </w:r>
      <w:r w:rsidRPr="00101828">
        <w:rPr>
          <w:rFonts w:ascii="Times New Roman" w:eastAsia="Times New Roman" w:hAnsi="Times New Roman" w:cs="B Lotus"/>
          <w:szCs w:val="24"/>
          <w:rtl/>
          <w:lang w:val="en-US" w:bidi="fa-IR"/>
        </w:rPr>
        <w:fldChar w:fldCharType="begin"/>
      </w:r>
      <w:r w:rsidRPr="00101828">
        <w:rPr>
          <w:rFonts w:ascii="Times New Roman" w:eastAsia="Times New Roman" w:hAnsi="Times New Roman" w:cs="B Lotus"/>
          <w:szCs w:val="24"/>
          <w:rtl/>
          <w:lang w:val="en-US" w:bidi="fa-IR"/>
        </w:rPr>
        <w:instrText xml:space="preserve"> </w:instrText>
      </w:r>
      <w:r w:rsidRPr="00101828">
        <w:rPr>
          <w:rFonts w:ascii="Times New Roman" w:eastAsia="Times New Roman" w:hAnsi="Times New Roman" w:cs="B Lotus"/>
          <w:szCs w:val="24"/>
          <w:lang w:val="en-US" w:bidi="fa-IR"/>
        </w:rPr>
        <w:instrText>SEQ</w:instrText>
      </w:r>
      <w:r w:rsidRPr="00101828">
        <w:rPr>
          <w:rFonts w:ascii="Times New Roman" w:eastAsia="Times New Roman" w:hAnsi="Times New Roman" w:cs="B Lotus"/>
          <w:szCs w:val="24"/>
          <w:rtl/>
          <w:lang w:val="en-US" w:bidi="fa-IR"/>
        </w:rPr>
        <w:instrText xml:space="preserve"> جدول \* </w:instrText>
      </w:r>
      <w:r w:rsidRPr="00101828">
        <w:rPr>
          <w:rFonts w:ascii="Times New Roman" w:eastAsia="Times New Roman" w:hAnsi="Times New Roman" w:cs="B Lotus"/>
          <w:szCs w:val="24"/>
          <w:lang w:val="en-US" w:bidi="fa-IR"/>
        </w:rPr>
        <w:instrText>ARABIC \s 1</w:instrText>
      </w:r>
      <w:r w:rsidRPr="00101828">
        <w:rPr>
          <w:rFonts w:ascii="Times New Roman" w:eastAsia="Times New Roman" w:hAnsi="Times New Roman" w:cs="B Lotus"/>
          <w:szCs w:val="24"/>
          <w:rtl/>
          <w:lang w:val="en-US" w:bidi="fa-IR"/>
        </w:rPr>
        <w:instrText xml:space="preserve"> </w:instrText>
      </w:r>
      <w:r w:rsidRPr="00101828">
        <w:rPr>
          <w:rFonts w:ascii="Times New Roman" w:eastAsia="Times New Roman" w:hAnsi="Times New Roman" w:cs="B Lotus"/>
          <w:szCs w:val="24"/>
          <w:rtl/>
          <w:lang w:val="en-US" w:bidi="fa-IR"/>
        </w:rPr>
        <w:fldChar w:fldCharType="separate"/>
      </w:r>
      <w:r w:rsidRPr="00101828">
        <w:rPr>
          <w:rFonts w:ascii="Times New Roman" w:eastAsia="Times New Roman" w:hAnsi="Times New Roman" w:cs="B Lotus"/>
          <w:noProof/>
          <w:szCs w:val="24"/>
          <w:rtl/>
          <w:lang w:val="en-US" w:bidi="fa-IR"/>
        </w:rPr>
        <w:t>18</w:t>
      </w:r>
      <w:r w:rsidRPr="00101828">
        <w:rPr>
          <w:rFonts w:ascii="Times New Roman" w:eastAsia="Times New Roman" w:hAnsi="Times New Roman" w:cs="B Lotus"/>
          <w:szCs w:val="24"/>
          <w:rtl/>
          <w:lang w:val="en-US" w:bidi="fa-IR"/>
        </w:rPr>
        <w:fldChar w:fldCharType="end"/>
      </w:r>
      <w:r w:rsidRPr="00101828">
        <w:rPr>
          <w:rFonts w:ascii="Times New Roman" w:eastAsia="Times New Roman" w:hAnsi="Times New Roman" w:cs="B Lotus" w:hint="cs"/>
          <w:szCs w:val="24"/>
          <w:rtl/>
          <w:lang w:val="en-US" w:bidi="fa-IR"/>
        </w:rPr>
        <w:t xml:space="preserve">: ضرایب معناداری و رتبه بندی عوامل بر اساس ضریب </w:t>
      </w:r>
      <w:r w:rsidRPr="00101828">
        <w:rPr>
          <w:rFonts w:ascii="Times New Roman" w:eastAsia="Times New Roman" w:hAnsi="Times New Roman" w:cs="B Lotus"/>
          <w:szCs w:val="24"/>
          <w:lang w:val="en-US" w:bidi="fa-IR"/>
        </w:rPr>
        <w:t>R2</w:t>
      </w:r>
    </w:p>
    <w:tbl>
      <w:tblPr>
        <w:tblStyle w:val="GridTable1Light1"/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65"/>
        <w:gridCol w:w="884"/>
        <w:gridCol w:w="2346"/>
        <w:gridCol w:w="744"/>
        <w:gridCol w:w="759"/>
        <w:gridCol w:w="1280"/>
        <w:gridCol w:w="563"/>
        <w:gridCol w:w="921"/>
      </w:tblGrid>
      <w:tr w:rsidR="00101828" w:rsidRPr="00101828" w:rsidTr="00101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D9D9D9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Arial" w:eastAsia="Calibri" w:hAnsi="Arial" w:cs="B Lotus"/>
                <w:sz w:val="24"/>
                <w:szCs w:val="24"/>
                <w:rtl/>
                <w:lang w:eastAsia="x-none" w:bidi="fa-IR"/>
              </w:rPr>
            </w:pPr>
            <w:r w:rsidRPr="00101828">
              <w:rPr>
                <w:rFonts w:ascii="Arial" w:eastAsia="Calibri" w:hAnsi="Arial" w:cs="B Lotus" w:hint="cs"/>
                <w:sz w:val="24"/>
                <w:szCs w:val="24"/>
                <w:rtl/>
                <w:lang w:eastAsia="x-none"/>
              </w:rPr>
              <w:t xml:space="preserve">ضریب </w:t>
            </w:r>
            <w:r w:rsidRPr="00101828">
              <w:rPr>
                <w:rFonts w:ascii="Arial" w:eastAsia="Calibri" w:hAnsi="Arial" w:cs="B Lotus"/>
                <w:sz w:val="24"/>
                <w:szCs w:val="24"/>
                <w:lang w:eastAsia="x-none"/>
              </w:rPr>
              <w:t>R2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Lotus"/>
                <w:sz w:val="24"/>
                <w:szCs w:val="24"/>
                <w:lang w:eastAsia="x-none"/>
              </w:rPr>
            </w:pPr>
            <w:r w:rsidRPr="00101828">
              <w:rPr>
                <w:rFonts w:ascii="Arial" w:eastAsia="Calibri" w:hAnsi="Arial" w:cs="B Lotus" w:hint="cs"/>
                <w:sz w:val="24"/>
                <w:szCs w:val="24"/>
                <w:rtl/>
                <w:lang w:eastAsia="x-none" w:bidi="fa-IR"/>
              </w:rPr>
              <w:t>ضریب مسیر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Lotus"/>
                <w:sz w:val="24"/>
                <w:szCs w:val="24"/>
                <w:rtl/>
                <w:lang w:eastAsia="x-none"/>
              </w:rPr>
            </w:pPr>
            <w:r w:rsidRPr="00101828">
              <w:rPr>
                <w:rFonts w:ascii="Arial" w:eastAsia="Calibri" w:hAnsi="Arial" w:cs="B Lotus" w:hint="cs"/>
                <w:sz w:val="24"/>
                <w:szCs w:val="24"/>
                <w:rtl/>
                <w:lang w:eastAsia="x-none"/>
              </w:rPr>
              <w:t>کد مولفه</w:t>
            </w:r>
          </w:p>
        </w:tc>
        <w:tc>
          <w:tcPr>
            <w:tcW w:w="2474" w:type="dxa"/>
            <w:shd w:val="clear" w:color="auto" w:fill="D9D9D9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Lotus"/>
                <w:sz w:val="24"/>
                <w:szCs w:val="24"/>
                <w:lang w:eastAsia="x-none"/>
              </w:rPr>
            </w:pPr>
            <w:r w:rsidRPr="00101828">
              <w:rPr>
                <w:rFonts w:ascii="Arial" w:eastAsia="Calibri" w:hAnsi="Arial" w:cs="B Lotus" w:hint="cs"/>
                <w:sz w:val="24"/>
                <w:szCs w:val="24"/>
                <w:rtl/>
                <w:lang w:eastAsia="x-none"/>
              </w:rPr>
              <w:t>مولفه ها</w:t>
            </w:r>
          </w:p>
        </w:tc>
        <w:tc>
          <w:tcPr>
            <w:tcW w:w="768" w:type="dxa"/>
            <w:shd w:val="clear" w:color="auto" w:fill="D9D9D9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Lotus"/>
                <w:sz w:val="24"/>
                <w:szCs w:val="24"/>
                <w:rtl/>
                <w:lang w:eastAsia="x-none" w:bidi="fa-IR"/>
              </w:rPr>
            </w:pPr>
            <w:r w:rsidRPr="00101828">
              <w:rPr>
                <w:rFonts w:ascii="Arial" w:eastAsia="Calibri" w:hAnsi="Arial" w:cs="B Lotus" w:hint="cs"/>
                <w:sz w:val="24"/>
                <w:szCs w:val="24"/>
                <w:rtl/>
                <w:lang w:eastAsia="x-none" w:bidi="fa-IR"/>
              </w:rPr>
              <w:t xml:space="preserve">رتبه در هر بعد </w:t>
            </w:r>
          </w:p>
        </w:tc>
        <w:tc>
          <w:tcPr>
            <w:tcW w:w="762" w:type="dxa"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Lotus"/>
                <w:sz w:val="24"/>
                <w:szCs w:val="24"/>
                <w:rtl/>
                <w:lang w:eastAsia="x-none" w:bidi="fa-IR"/>
              </w:rPr>
            </w:pPr>
            <w:r w:rsidRPr="00101828">
              <w:rPr>
                <w:rFonts w:ascii="Arial" w:eastAsia="Calibri" w:hAnsi="Arial" w:cs="B Lotus" w:hint="cs"/>
                <w:sz w:val="24"/>
                <w:szCs w:val="24"/>
                <w:rtl/>
                <w:lang w:eastAsia="x-none" w:bidi="fa-IR"/>
              </w:rPr>
              <w:t>ضریب مسیر</w:t>
            </w:r>
          </w:p>
        </w:tc>
        <w:tc>
          <w:tcPr>
            <w:tcW w:w="1306" w:type="dxa"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Lotus"/>
                <w:sz w:val="24"/>
                <w:szCs w:val="24"/>
                <w:rtl/>
                <w:lang w:eastAsia="x-none" w:bidi="fa-IR"/>
              </w:rPr>
            </w:pPr>
            <w:r w:rsidRPr="00101828">
              <w:rPr>
                <w:rFonts w:ascii="Arial" w:eastAsia="Calibri" w:hAnsi="Arial" w:cs="B Lotus" w:hint="cs"/>
                <w:sz w:val="24"/>
                <w:szCs w:val="24"/>
                <w:rtl/>
                <w:lang w:eastAsia="x-none" w:bidi="fa-IR"/>
              </w:rPr>
              <w:t>ابعاد</w:t>
            </w:r>
          </w:p>
        </w:tc>
        <w:tc>
          <w:tcPr>
            <w:tcW w:w="564" w:type="dxa"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Lotus"/>
                <w:sz w:val="24"/>
                <w:szCs w:val="24"/>
                <w:rtl/>
                <w:lang w:eastAsia="x-none" w:bidi="fa-IR"/>
              </w:rPr>
            </w:pPr>
            <w:r w:rsidRPr="00101828">
              <w:rPr>
                <w:rFonts w:ascii="Arial" w:eastAsia="Calibri" w:hAnsi="Arial" w:cs="B Lotus" w:hint="cs"/>
                <w:sz w:val="24"/>
                <w:szCs w:val="24"/>
                <w:rtl/>
                <w:lang w:eastAsia="x-none" w:bidi="fa-IR"/>
              </w:rPr>
              <w:t>رتبه ابعاد</w:t>
            </w:r>
          </w:p>
        </w:tc>
        <w:tc>
          <w:tcPr>
            <w:tcW w:w="656" w:type="dxa"/>
            <w:vMerge w:val="restart"/>
            <w:shd w:val="clear" w:color="auto" w:fill="D9D9D9"/>
            <w:textDirection w:val="tbRl"/>
          </w:tcPr>
          <w:p w:rsidR="00101828" w:rsidRPr="00101828" w:rsidRDefault="00101828" w:rsidP="00101828">
            <w:pPr>
              <w:bidi/>
              <w:spacing w:after="200"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Lotus"/>
                <w:color w:val="FF0000"/>
                <w:sz w:val="24"/>
                <w:szCs w:val="24"/>
                <w:rtl/>
                <w:lang w:eastAsia="x-none" w:bidi="fa-IR"/>
              </w:rPr>
            </w:pPr>
            <w:r w:rsidRPr="00101828">
              <w:rPr>
                <w:rFonts w:ascii="Times New Roman" w:eastAsia="Calibri" w:hAnsi="Times New Roman" w:cs="B Lotus" w:hint="cs"/>
                <w:szCs w:val="24"/>
                <w:rtl/>
                <w:lang w:bidi="fa-IR"/>
              </w:rPr>
              <w:t>همکاری راهبردی بانک</w:t>
            </w:r>
            <w:r w:rsidRPr="00101828">
              <w:rPr>
                <w:rFonts w:ascii="Times New Roman" w:eastAsia="Calibri" w:hAnsi="Times New Roman" w:cs="B Lotus"/>
                <w:szCs w:val="24"/>
                <w:rtl/>
                <w:lang w:bidi="fa-IR"/>
              </w:rPr>
              <w:softHyphen/>
            </w:r>
            <w:r w:rsidRPr="00101828">
              <w:rPr>
                <w:rFonts w:ascii="Times New Roman" w:eastAsia="Calibri" w:hAnsi="Times New Roman" w:cs="B Lotus" w:hint="cs"/>
                <w:szCs w:val="24"/>
                <w:rtl/>
                <w:lang w:bidi="fa-IR"/>
              </w:rPr>
              <w:t>ها و فین</w:t>
            </w:r>
            <w:r w:rsidRPr="00101828">
              <w:rPr>
                <w:rFonts w:ascii="Times New Roman" w:eastAsia="Calibri" w:hAnsi="Times New Roman" w:cs="B Lotus" w:hint="cs"/>
                <w:szCs w:val="24"/>
                <w:rtl/>
                <w:lang w:bidi="fa-IR"/>
              </w:rPr>
              <w:softHyphen/>
              <w:t>تک</w:t>
            </w:r>
            <w:r w:rsidRPr="00101828">
              <w:rPr>
                <w:rFonts w:ascii="Times New Roman" w:eastAsia="Calibri" w:hAnsi="Times New Roman" w:cs="B Lotus"/>
                <w:szCs w:val="24"/>
                <w:rtl/>
                <w:lang w:bidi="fa-IR"/>
              </w:rPr>
              <w:softHyphen/>
            </w:r>
            <w:r w:rsidRPr="00101828">
              <w:rPr>
                <w:rFonts w:ascii="Times New Roman" w:eastAsia="Calibri" w:hAnsi="Times New Roman" w:cs="B Lotus" w:hint="cs"/>
                <w:szCs w:val="24"/>
                <w:rtl/>
                <w:lang w:bidi="fa-IR"/>
              </w:rPr>
              <w:t>ها</w:t>
            </w: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.853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.924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  <w:t>BS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اتحادیه و سندیکای بانکی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62" w:type="dxa"/>
            <w:vMerge w:val="restart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0.735</w:t>
            </w:r>
          </w:p>
        </w:tc>
        <w:tc>
          <w:tcPr>
            <w:tcW w:w="1306" w:type="dxa"/>
            <w:vMerge w:val="restart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ابعاد و مولفه های برون سازمانی</w:t>
            </w:r>
          </w:p>
        </w:tc>
        <w:tc>
          <w:tcPr>
            <w:tcW w:w="564" w:type="dxa"/>
            <w:vMerge w:val="restart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Lotus" w:hint="cs"/>
                <w:szCs w:val="24"/>
                <w:rtl/>
                <w:lang w:bidi="fa-IR"/>
              </w:rPr>
              <w:t>1</w:t>
            </w:r>
          </w:p>
        </w:tc>
        <w:tc>
          <w:tcPr>
            <w:tcW w:w="656" w:type="dxa"/>
            <w:vMerge/>
            <w:shd w:val="clear" w:color="auto" w:fill="D9D9D9"/>
            <w:textDirection w:val="tbRl"/>
          </w:tcPr>
          <w:p w:rsidR="00101828" w:rsidRPr="00101828" w:rsidRDefault="00101828" w:rsidP="00101828">
            <w:pPr>
              <w:bidi/>
              <w:spacing w:after="20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.844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.919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  <w:t>IF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عوامل بین المللی و تحریمهای حوزه فناوری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  <w:textDirection w:val="tbRl"/>
          </w:tcPr>
          <w:p w:rsidR="00101828" w:rsidRPr="00101828" w:rsidRDefault="00101828" w:rsidP="00101828">
            <w:pPr>
              <w:bidi/>
              <w:spacing w:after="20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Cs w:val="24"/>
                <w:rtl/>
                <w:lang w:bidi="fa-IR"/>
              </w:rPr>
            </w:pPr>
          </w:p>
        </w:tc>
        <w:tc>
          <w:tcPr>
            <w:tcW w:w="656" w:type="dxa"/>
            <w:vMerge/>
            <w:shd w:val="clear" w:color="auto" w:fill="D9D9D9"/>
            <w:textDirection w:val="tbRl"/>
          </w:tcPr>
          <w:p w:rsidR="00101828" w:rsidRPr="00101828" w:rsidRDefault="00101828" w:rsidP="00101828">
            <w:pPr>
              <w:bidi/>
              <w:spacing w:after="20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color w:val="FF0000"/>
                <w:szCs w:val="24"/>
                <w:rtl/>
                <w:lang w:bidi="fa-IR"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.627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.792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FF0000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PM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FF0000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سیاست گذاری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  <w:textDirection w:val="tbRl"/>
          </w:tcPr>
          <w:p w:rsidR="00101828" w:rsidRPr="00101828" w:rsidRDefault="00101828" w:rsidP="00101828">
            <w:pPr>
              <w:bidi/>
              <w:spacing w:after="20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Cs w:val="24"/>
                <w:rtl/>
                <w:lang w:bidi="fa-IR"/>
              </w:rPr>
            </w:pPr>
          </w:p>
        </w:tc>
        <w:tc>
          <w:tcPr>
            <w:tcW w:w="656" w:type="dxa"/>
            <w:vMerge/>
            <w:shd w:val="clear" w:color="auto" w:fill="D9D9D9"/>
            <w:textDirection w:val="tbRl"/>
          </w:tcPr>
          <w:p w:rsidR="00101828" w:rsidRPr="00101828" w:rsidRDefault="00101828" w:rsidP="00101828">
            <w:pPr>
              <w:bidi/>
              <w:spacing w:after="20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color w:val="FF0000"/>
                <w:szCs w:val="24"/>
                <w:rtl/>
                <w:lang w:bidi="fa-IR"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.522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.723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PF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عوامل محیطی و ملی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.502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.708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GP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دولت و مجلس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.306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.553</w:t>
            </w:r>
          </w:p>
        </w:tc>
        <w:tc>
          <w:tcPr>
            <w:tcW w:w="905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FF0000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  <w:t>LM</w:t>
            </w:r>
          </w:p>
        </w:tc>
        <w:tc>
          <w:tcPr>
            <w:tcW w:w="2474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FF0000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قانون گذاری و نهاد ناظر</w:t>
            </w:r>
          </w:p>
        </w:tc>
        <w:tc>
          <w:tcPr>
            <w:tcW w:w="768" w:type="dxa"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vMerge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.811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.901</w:t>
            </w:r>
          </w:p>
        </w:tc>
        <w:tc>
          <w:tcPr>
            <w:tcW w:w="905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VM</w:t>
            </w:r>
          </w:p>
        </w:tc>
        <w:tc>
          <w:tcPr>
            <w:tcW w:w="2474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ارزش آفرینی</w:t>
            </w:r>
          </w:p>
        </w:tc>
        <w:tc>
          <w:tcPr>
            <w:tcW w:w="768" w:type="dxa"/>
            <w:tcBorders>
              <w:top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0.451</w:t>
            </w:r>
          </w:p>
        </w:tc>
        <w:tc>
          <w:tcPr>
            <w:tcW w:w="1306" w:type="dxa"/>
            <w:vMerge w:val="restart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پیامدهای ورود به همکاریهای راهبردی</w:t>
            </w:r>
          </w:p>
        </w:tc>
        <w:tc>
          <w:tcPr>
            <w:tcW w:w="564" w:type="dxa"/>
            <w:vMerge w:val="restart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.778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.882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BD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توسعه کسب و کار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.773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.879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EI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ارتقاء کارایی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.709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.842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TIM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ارتقاء شفافیت و سلامت مالی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lastRenderedPageBreak/>
              <w:t>.404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.635</w:t>
            </w:r>
          </w:p>
        </w:tc>
        <w:tc>
          <w:tcPr>
            <w:tcW w:w="905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RI</w:t>
            </w:r>
          </w:p>
        </w:tc>
        <w:tc>
          <w:tcPr>
            <w:tcW w:w="2474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شاخص ریسک</w:t>
            </w:r>
          </w:p>
        </w:tc>
        <w:tc>
          <w:tcPr>
            <w:tcW w:w="768" w:type="dxa"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62" w:type="dxa"/>
            <w:vMerge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lastRenderedPageBreak/>
              <w:t>.761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.872</w:t>
            </w:r>
          </w:p>
        </w:tc>
        <w:tc>
          <w:tcPr>
            <w:tcW w:w="905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  <w:t>IM</w:t>
            </w:r>
          </w:p>
        </w:tc>
        <w:tc>
          <w:tcPr>
            <w:tcW w:w="2474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انگیزه های نوآورانه</w:t>
            </w:r>
          </w:p>
        </w:tc>
        <w:tc>
          <w:tcPr>
            <w:tcW w:w="768" w:type="dxa"/>
            <w:tcBorders>
              <w:top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0.242</w:t>
            </w:r>
          </w:p>
        </w:tc>
        <w:tc>
          <w:tcPr>
            <w:tcW w:w="1306" w:type="dxa"/>
            <w:vMerge w:val="restart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انگیزه بانک</w:t>
            </w:r>
            <w:r w:rsidRPr="00101828">
              <w:rPr>
                <w:rFonts w:ascii="Calibri" w:eastAsia="Times New Roman" w:hAnsi="Calibri" w:cs="B Lotus"/>
                <w:sz w:val="24"/>
                <w:szCs w:val="24"/>
                <w:rtl/>
              </w:rPr>
              <w:softHyphen/>
            </w: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ها و فین</w:t>
            </w:r>
            <w:r w:rsidRPr="00101828">
              <w:rPr>
                <w:rFonts w:ascii="Calibri" w:eastAsia="Times New Roman" w:hAnsi="Calibri" w:cs="B Lotus"/>
                <w:sz w:val="24"/>
                <w:szCs w:val="24"/>
                <w:rtl/>
              </w:rPr>
              <w:softHyphen/>
            </w: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تک</w:t>
            </w:r>
            <w:r w:rsidRPr="00101828">
              <w:rPr>
                <w:rFonts w:ascii="Calibri" w:eastAsia="Times New Roman" w:hAnsi="Calibri" w:cs="B Lotus"/>
                <w:sz w:val="24"/>
                <w:szCs w:val="24"/>
                <w:rtl/>
              </w:rPr>
              <w:softHyphen/>
            </w: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ها در ورود به همکاری</w:t>
            </w:r>
          </w:p>
        </w:tc>
        <w:tc>
          <w:tcPr>
            <w:tcW w:w="564" w:type="dxa"/>
            <w:vMerge w:val="restart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.573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.757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MD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نیاز به توسعه بازار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.515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.717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FA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جنبه های مالی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.366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.605</w:t>
            </w:r>
          </w:p>
        </w:tc>
        <w:tc>
          <w:tcPr>
            <w:tcW w:w="905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BE</w:t>
            </w:r>
          </w:p>
        </w:tc>
        <w:tc>
          <w:tcPr>
            <w:tcW w:w="2474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اکوسیستم نوین کسب و کار</w:t>
            </w:r>
          </w:p>
        </w:tc>
        <w:tc>
          <w:tcPr>
            <w:tcW w:w="768" w:type="dxa"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62" w:type="dxa"/>
            <w:vMerge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.730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.854</w:t>
            </w:r>
          </w:p>
        </w:tc>
        <w:tc>
          <w:tcPr>
            <w:tcW w:w="905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EB</w:t>
            </w:r>
          </w:p>
        </w:tc>
        <w:tc>
          <w:tcPr>
            <w:tcW w:w="2474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موانع اقتصادی و تجاری</w:t>
            </w:r>
          </w:p>
        </w:tc>
        <w:tc>
          <w:tcPr>
            <w:tcW w:w="768" w:type="dxa"/>
            <w:tcBorders>
              <w:top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0.213</w:t>
            </w:r>
          </w:p>
        </w:tc>
        <w:tc>
          <w:tcPr>
            <w:tcW w:w="1306" w:type="dxa"/>
            <w:vMerge w:val="restart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موانع و مشکلات ورود به همکاریهای راهبردی</w:t>
            </w:r>
          </w:p>
        </w:tc>
        <w:tc>
          <w:tcPr>
            <w:tcW w:w="564" w:type="dxa"/>
            <w:vMerge w:val="restart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.685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.828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SCH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چالشهای امنیتی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.530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.728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PB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موانع فرایندی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.515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.717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  <w:t>TL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محدودیتهای فناورانه و زیرساختی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.428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.654</w:t>
            </w:r>
          </w:p>
        </w:tc>
        <w:tc>
          <w:tcPr>
            <w:tcW w:w="905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LB</w:t>
            </w:r>
          </w:p>
        </w:tc>
        <w:tc>
          <w:tcPr>
            <w:tcW w:w="2474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موانع قانونی</w:t>
            </w:r>
          </w:p>
        </w:tc>
        <w:tc>
          <w:tcPr>
            <w:tcW w:w="768" w:type="dxa"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62" w:type="dxa"/>
            <w:vMerge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.509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.713</w:t>
            </w:r>
          </w:p>
        </w:tc>
        <w:tc>
          <w:tcPr>
            <w:tcW w:w="905" w:type="dxa"/>
            <w:tcBorders>
              <w:top w:val="single" w:sz="18" w:space="0" w:color="auto"/>
            </w:tcBorders>
            <w:vAlign w:val="center"/>
          </w:tcPr>
          <w:p w:rsidR="00101828" w:rsidRPr="00101828" w:rsidRDefault="0025105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D</w:t>
            </w:r>
            <w:r w:rsidR="00101828"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C</w:t>
            </w:r>
          </w:p>
        </w:tc>
        <w:tc>
          <w:tcPr>
            <w:tcW w:w="2474" w:type="dxa"/>
            <w:tcBorders>
              <w:top w:val="single" w:sz="18" w:space="0" w:color="auto"/>
            </w:tcBorders>
            <w:vAlign w:val="center"/>
          </w:tcPr>
          <w:p w:rsidR="00101828" w:rsidRPr="00101828" w:rsidRDefault="0025105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 xml:space="preserve">همکاری راهبردی انعطاف پذیر </w:t>
            </w:r>
          </w:p>
        </w:tc>
        <w:tc>
          <w:tcPr>
            <w:tcW w:w="768" w:type="dxa"/>
            <w:tcBorders>
              <w:top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val="en-GB"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val="en-GB" w:bidi="fa-IR"/>
              </w:rPr>
              <w:t>0.203</w:t>
            </w:r>
          </w:p>
        </w:tc>
        <w:tc>
          <w:tcPr>
            <w:tcW w:w="1306" w:type="dxa"/>
            <w:vMerge w:val="restart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انواع سطوح همکاری بانکها و فین</w:t>
            </w:r>
            <w:r w:rsidRPr="00101828">
              <w:rPr>
                <w:rFonts w:ascii="Calibri" w:eastAsia="Times New Roman" w:hAnsi="Calibri" w:cs="B Lotus"/>
                <w:sz w:val="24"/>
                <w:szCs w:val="24"/>
                <w:rtl/>
              </w:rPr>
              <w:softHyphen/>
            </w: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تک</w:t>
            </w:r>
            <w:r w:rsidRPr="00101828">
              <w:rPr>
                <w:rFonts w:ascii="Calibri" w:eastAsia="Times New Roman" w:hAnsi="Calibri" w:cs="B Lotus"/>
                <w:sz w:val="24"/>
                <w:szCs w:val="24"/>
                <w:rtl/>
              </w:rPr>
              <w:softHyphen/>
            </w: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ها</w:t>
            </w:r>
          </w:p>
        </w:tc>
        <w:tc>
          <w:tcPr>
            <w:tcW w:w="564" w:type="dxa"/>
            <w:vMerge w:val="restart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.505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.710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CC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سطوح همکاری رایج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.470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.685</w:t>
            </w:r>
          </w:p>
        </w:tc>
        <w:tc>
          <w:tcPr>
            <w:tcW w:w="905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25105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  <w:t>S</w:t>
            </w:r>
            <w:r w:rsidR="00101828" w:rsidRPr="00101828"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  <w:t>C</w:t>
            </w:r>
          </w:p>
        </w:tc>
        <w:tc>
          <w:tcPr>
            <w:tcW w:w="2474" w:type="dxa"/>
            <w:tcBorders>
              <w:bottom w:val="single" w:sz="18" w:space="0" w:color="auto"/>
            </w:tcBorders>
            <w:vAlign w:val="center"/>
          </w:tcPr>
          <w:p w:rsidR="00101828" w:rsidRPr="00101828" w:rsidRDefault="0025105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سطوح همکاری راهبردی</w:t>
            </w:r>
          </w:p>
        </w:tc>
        <w:tc>
          <w:tcPr>
            <w:tcW w:w="768" w:type="dxa"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Calibri" w:eastAsia="Times New Roman" w:hAnsi="Calibri"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62" w:type="dxa"/>
            <w:vMerge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6" w:type="dxa"/>
            <w:vMerge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4" w:type="dxa"/>
            <w:vMerge/>
            <w:tcBorders>
              <w:bottom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.949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.974</w:t>
            </w:r>
          </w:p>
        </w:tc>
        <w:tc>
          <w:tcPr>
            <w:tcW w:w="905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DT</w:t>
            </w:r>
          </w:p>
        </w:tc>
        <w:tc>
          <w:tcPr>
            <w:tcW w:w="2474" w:type="dxa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تحول دیجیتال</w:t>
            </w:r>
          </w:p>
        </w:tc>
        <w:tc>
          <w:tcPr>
            <w:tcW w:w="768" w:type="dxa"/>
            <w:tcBorders>
              <w:top w:val="single" w:sz="18" w:space="0" w:color="auto"/>
            </w:tcBorders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val="en-GB"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val="en-GB" w:bidi="fa-IR"/>
              </w:rPr>
              <w:t>0.150</w:t>
            </w:r>
          </w:p>
        </w:tc>
        <w:tc>
          <w:tcPr>
            <w:tcW w:w="1306" w:type="dxa"/>
            <w:vMerge w:val="restart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val="en-GB"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val="en-GB" w:bidi="fa-IR"/>
              </w:rPr>
              <w:t>عوامل تبیین کننده همکاری بانک</w:t>
            </w:r>
            <w:r w:rsidRPr="00101828">
              <w:rPr>
                <w:rFonts w:ascii="Times New Roman" w:eastAsia="Calibri" w:hAnsi="Times New Roman" w:cs="B Zar"/>
                <w:sz w:val="24"/>
                <w:szCs w:val="24"/>
                <w:rtl/>
                <w:lang w:val="en-GB" w:bidi="fa-IR"/>
              </w:rPr>
              <w:softHyphen/>
            </w: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val="en-GB" w:bidi="fa-IR"/>
              </w:rPr>
              <w:t>ها و فین تکها</w:t>
            </w:r>
          </w:p>
        </w:tc>
        <w:tc>
          <w:tcPr>
            <w:tcW w:w="564" w:type="dxa"/>
            <w:vMerge w:val="restart"/>
            <w:tcBorders>
              <w:top w:val="single" w:sz="18" w:space="0" w:color="auto"/>
            </w:tcBorders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val="en-GB"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val="en-GB" w:bidi="fa-IR"/>
              </w:rPr>
              <w:t>6</w:t>
            </w: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.930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.965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OF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عوامل سازمانی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.823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.907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  <w:t>LF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جنبه های حقوقی و قانونی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.583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.764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TI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زیرساخت</w:t>
            </w:r>
            <w:r w:rsidRPr="00101828"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  <w:softHyphen/>
            </w: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های علم و فناوری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6" w:type="dxa"/>
            <w:vMerge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.489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.700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SF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عوامل ساختاری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lastRenderedPageBreak/>
              <w:t>.436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.660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CF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عوامل فرهنگی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lastRenderedPageBreak/>
              <w:t>.431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.656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bidi="fa-IR"/>
              </w:rPr>
              <w:t>TM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اعتمادسازی و انتخاب بهینه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01828" w:rsidRPr="00101828" w:rsidTr="00101828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.428</w:t>
            </w:r>
          </w:p>
        </w:tc>
        <w:tc>
          <w:tcPr>
            <w:tcW w:w="1100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Lotus"/>
                <w:sz w:val="24"/>
                <w:szCs w:val="28"/>
              </w:rPr>
            </w:pPr>
            <w:r w:rsidRPr="00101828">
              <w:rPr>
                <w:rFonts w:ascii="Times New Roman" w:eastAsia="Calibri" w:hAnsi="Times New Roman" w:cs="B Lotus"/>
                <w:sz w:val="24"/>
                <w:szCs w:val="28"/>
              </w:rPr>
              <w:t>.654</w:t>
            </w:r>
          </w:p>
        </w:tc>
        <w:tc>
          <w:tcPr>
            <w:tcW w:w="905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</w:pPr>
            <w:r w:rsidRPr="00101828">
              <w:rPr>
                <w:rFonts w:ascii="Times New Roman" w:eastAsia="Calibri" w:hAnsi="Times New Roman" w:cs="B Zar"/>
                <w:sz w:val="24"/>
                <w:szCs w:val="28"/>
                <w:lang w:val="en-GB" w:bidi="fa-IR"/>
              </w:rPr>
              <w:t>MT</w:t>
            </w:r>
          </w:p>
        </w:tc>
        <w:tc>
          <w:tcPr>
            <w:tcW w:w="2474" w:type="dxa"/>
            <w:vAlign w:val="center"/>
          </w:tcPr>
          <w:p w:rsidR="00101828" w:rsidRPr="00101828" w:rsidRDefault="00101828" w:rsidP="00101828">
            <w:pPr>
              <w:bidi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  <w:r w:rsidRPr="00101828">
              <w:rPr>
                <w:rFonts w:ascii="Times New Roman" w:eastAsia="Calibri" w:hAnsi="Times New Roman" w:cs="B Zar" w:hint="cs"/>
                <w:sz w:val="24"/>
                <w:szCs w:val="24"/>
                <w:rtl/>
                <w:lang w:bidi="fa-IR"/>
              </w:rPr>
              <w:t>جایگاه مدیران</w:t>
            </w:r>
          </w:p>
        </w:tc>
        <w:tc>
          <w:tcPr>
            <w:tcW w:w="768" w:type="dxa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sz w:val="24"/>
                <w:szCs w:val="24"/>
                <w:rtl/>
              </w:rPr>
            </w:pPr>
            <w:r w:rsidRPr="00101828">
              <w:rPr>
                <w:rFonts w:ascii="Calibri" w:eastAsia="Times New Roman" w:hAnsi="Calibri" w:cs="B Lotus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62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06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64" w:type="dxa"/>
            <w:vMerge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" w:type="dxa"/>
            <w:vMerge/>
            <w:shd w:val="clear" w:color="auto" w:fill="D9D9D9"/>
          </w:tcPr>
          <w:p w:rsidR="00101828" w:rsidRPr="00101828" w:rsidRDefault="00101828" w:rsidP="00101828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6B747D" w:rsidRDefault="006B747D" w:rsidP="00101828">
      <w:pPr>
        <w:bidi/>
        <w:rPr>
          <w:lang w:bidi="fa-IR"/>
        </w:rPr>
      </w:pPr>
    </w:p>
    <w:sectPr w:rsidR="006B7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F549F"/>
    <w:multiLevelType w:val="hybridMultilevel"/>
    <w:tmpl w:val="7A384DAC"/>
    <w:lvl w:ilvl="0" w:tplc="011A88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28"/>
    <w:rsid w:val="000B0BBD"/>
    <w:rsid w:val="00101828"/>
    <w:rsid w:val="00251058"/>
    <w:rsid w:val="002F5DA5"/>
    <w:rsid w:val="006B747D"/>
    <w:rsid w:val="00F4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427B"/>
  <w15:chartTrackingRefBased/>
  <w15:docId w15:val="{9363340A-5F6C-4036-B792-5ACB3B34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10182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uiPriority w:val="39"/>
    <w:rsid w:val="000B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B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Onsori</dc:creator>
  <cp:keywords/>
  <dc:description/>
  <cp:lastModifiedBy>Arash Onsori</cp:lastModifiedBy>
  <cp:revision>4</cp:revision>
  <dcterms:created xsi:type="dcterms:W3CDTF">2023-05-03T10:22:00Z</dcterms:created>
  <dcterms:modified xsi:type="dcterms:W3CDTF">2023-05-06T18:40:00Z</dcterms:modified>
</cp:coreProperties>
</file>